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05D2D">
      <w:pPr>
        <w:spacing w:line="248" w:lineRule="auto"/>
        <w:rPr>
          <w:rFonts w:ascii="宋体"/>
        </w:rPr>
      </w:pPr>
    </w:p>
    <w:p w14:paraId="30F7163F">
      <w:pPr>
        <w:spacing w:line="248" w:lineRule="auto"/>
        <w:rPr>
          <w:rFonts w:ascii="宋体"/>
        </w:rPr>
      </w:pPr>
      <w:bookmarkStart w:id="0" w:name="_Toc28812"/>
    </w:p>
    <w:p w14:paraId="11A63836">
      <w:pPr>
        <w:spacing w:line="248" w:lineRule="auto"/>
        <w:rPr>
          <w:rFonts w:ascii="宋体"/>
        </w:rPr>
      </w:pPr>
    </w:p>
    <w:p w14:paraId="651A8616">
      <w:pPr>
        <w:jc w:val="center"/>
        <w:outlineLvl w:val="9"/>
        <w:rPr>
          <w:rFonts w:ascii="楷体" w:hAnsi="楷体" w:eastAsia="楷体" w:cs="楷体"/>
          <w:b/>
          <w:bCs/>
          <w:sz w:val="36"/>
          <w:szCs w:val="36"/>
        </w:rPr>
      </w:pPr>
      <w:bookmarkStart w:id="1" w:name="_Toc15677"/>
      <w:bookmarkStart w:id="2" w:name="_Toc16984"/>
      <w:bookmarkStart w:id="3" w:name="_Toc18833"/>
      <w:bookmarkStart w:id="4" w:name="_Toc24848"/>
      <w:bookmarkStart w:id="5" w:name="_Toc6695"/>
      <w:r>
        <w:rPr>
          <w:rFonts w:ascii="楷体" w:hAnsi="楷体" w:eastAsia="楷体" w:cs="楷体"/>
          <w:b/>
          <w:bCs/>
          <w:sz w:val="36"/>
          <w:szCs w:val="36"/>
        </w:rPr>
        <w:t>职教中心-基础设施改造提升补助</w:t>
      </w:r>
      <w:bookmarkEnd w:id="1"/>
      <w:bookmarkEnd w:id="2"/>
      <w:bookmarkEnd w:id="3"/>
      <w:bookmarkEnd w:id="4"/>
      <w:bookmarkEnd w:id="5"/>
    </w:p>
    <w:p w14:paraId="1A40FAA1">
      <w:pPr>
        <w:spacing w:line="248" w:lineRule="auto"/>
        <w:rPr>
          <w:rFonts w:ascii="宋体"/>
        </w:rPr>
      </w:pPr>
    </w:p>
    <w:p w14:paraId="6EEDCD44">
      <w:pPr>
        <w:spacing w:line="248" w:lineRule="auto"/>
        <w:rPr>
          <w:rFonts w:ascii="宋体"/>
        </w:rPr>
      </w:pPr>
    </w:p>
    <w:p w14:paraId="49F092B2">
      <w:pPr>
        <w:spacing w:line="248" w:lineRule="auto"/>
        <w:rPr>
          <w:rFonts w:ascii="宋体"/>
        </w:rPr>
      </w:pPr>
    </w:p>
    <w:p w14:paraId="36899953">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4E9BDB1A">
      <w:pPr>
        <w:spacing w:line="248" w:lineRule="auto"/>
        <w:rPr>
          <w:rFonts w:ascii="宋体"/>
        </w:rPr>
      </w:pPr>
    </w:p>
    <w:p w14:paraId="6838701C">
      <w:pPr>
        <w:spacing w:line="248" w:lineRule="auto"/>
        <w:rPr>
          <w:rFonts w:ascii="宋体"/>
        </w:rPr>
      </w:pPr>
    </w:p>
    <w:p w14:paraId="0742954A">
      <w:pPr>
        <w:spacing w:line="248" w:lineRule="auto"/>
        <w:rPr>
          <w:rFonts w:ascii="宋体"/>
        </w:rPr>
      </w:pPr>
    </w:p>
    <w:p w14:paraId="38E76969">
      <w:pPr>
        <w:spacing w:line="248" w:lineRule="auto"/>
        <w:jc w:val="left"/>
        <w:rPr>
          <w:rFonts w:ascii="宋体"/>
        </w:rPr>
      </w:pPr>
    </w:p>
    <w:p w14:paraId="7114D7BE">
      <w:pPr>
        <w:spacing w:line="248" w:lineRule="auto"/>
        <w:jc w:val="left"/>
        <w:rPr>
          <w:rFonts w:ascii="宋体"/>
        </w:rPr>
      </w:pPr>
    </w:p>
    <w:p w14:paraId="30F61A62">
      <w:pPr>
        <w:spacing w:line="248" w:lineRule="auto"/>
        <w:jc w:val="left"/>
        <w:rPr>
          <w:rFonts w:ascii="宋体"/>
        </w:rPr>
      </w:pPr>
    </w:p>
    <w:p w14:paraId="61E0ED9C">
      <w:pPr>
        <w:spacing w:line="248" w:lineRule="auto"/>
        <w:jc w:val="left"/>
        <w:rPr>
          <w:rFonts w:ascii="宋体"/>
        </w:rPr>
      </w:pPr>
    </w:p>
    <w:p w14:paraId="42D8DF88">
      <w:pPr>
        <w:spacing w:line="248" w:lineRule="auto"/>
        <w:jc w:val="left"/>
        <w:rPr>
          <w:rFonts w:ascii="宋体"/>
        </w:rPr>
      </w:pPr>
    </w:p>
    <w:p w14:paraId="30B524A8">
      <w:pPr>
        <w:spacing w:line="248" w:lineRule="auto"/>
        <w:rPr>
          <w:rFonts w:ascii="宋体"/>
        </w:rPr>
      </w:pPr>
    </w:p>
    <w:p w14:paraId="6D3BEFD1">
      <w:pPr>
        <w:spacing w:line="248" w:lineRule="auto"/>
        <w:jc w:val="left"/>
        <w:rPr>
          <w:rFonts w:ascii="宋体"/>
        </w:rPr>
      </w:pPr>
    </w:p>
    <w:p w14:paraId="74404E90">
      <w:pPr>
        <w:spacing w:line="248" w:lineRule="auto"/>
        <w:jc w:val="left"/>
        <w:rPr>
          <w:rFonts w:ascii="宋体"/>
        </w:rPr>
      </w:pPr>
    </w:p>
    <w:p w14:paraId="41A42599">
      <w:pPr>
        <w:spacing w:line="248" w:lineRule="auto"/>
        <w:jc w:val="left"/>
        <w:rPr>
          <w:rFonts w:ascii="宋体"/>
        </w:rPr>
      </w:pPr>
    </w:p>
    <w:p w14:paraId="67406E5C">
      <w:pPr>
        <w:spacing w:line="248" w:lineRule="auto"/>
        <w:jc w:val="left"/>
        <w:rPr>
          <w:rFonts w:ascii="宋体"/>
        </w:rPr>
      </w:pPr>
    </w:p>
    <w:p w14:paraId="1BB0C719">
      <w:pPr>
        <w:spacing w:line="248" w:lineRule="auto"/>
        <w:jc w:val="left"/>
        <w:rPr>
          <w:rFonts w:ascii="宋体"/>
        </w:rPr>
      </w:pPr>
    </w:p>
    <w:p w14:paraId="6474BC96">
      <w:pPr>
        <w:spacing w:line="248" w:lineRule="auto"/>
        <w:jc w:val="left"/>
        <w:rPr>
          <w:rFonts w:ascii="宋体"/>
        </w:rPr>
      </w:pPr>
    </w:p>
    <w:p w14:paraId="7BECB799">
      <w:pPr>
        <w:spacing w:line="248" w:lineRule="auto"/>
        <w:rPr>
          <w:rFonts w:ascii="宋体"/>
        </w:rPr>
      </w:pPr>
    </w:p>
    <w:p w14:paraId="52038BE6">
      <w:pPr>
        <w:widowControl/>
        <w:spacing w:line="600" w:lineRule="exact"/>
        <w:ind w:firstLine="1600" w:firstLineChars="500"/>
        <w:jc w:val="left"/>
        <w:rPr>
          <w:rFonts w:ascii="仿宋" w:hAnsi="仿宋" w:eastAsia="仿宋" w:cs="仿宋"/>
          <w:sz w:val="32"/>
          <w:szCs w:val="32"/>
        </w:rPr>
      </w:pPr>
      <w:r>
        <w:rPr>
          <w:rFonts w:ascii="楷体" w:hAnsi="楷体" w:eastAsia="楷体" w:cs="楷体"/>
          <w:color w:val="000000"/>
          <w:kern w:val="0"/>
          <w:sz w:val="32"/>
          <w:szCs w:val="32"/>
        </w:rPr>
        <w:t>主管部门：扶风县教育体育局</w:t>
      </w:r>
    </w:p>
    <w:p w14:paraId="4A22C1C4">
      <w:pPr>
        <w:widowControl/>
        <w:spacing w:line="600" w:lineRule="exact"/>
        <w:ind w:left="2556" w:leftChars="760" w:hanging="960" w:hangingChars="300"/>
        <w:jc w:val="left"/>
        <w:rPr>
          <w:rFonts w:ascii="仿宋" w:hAnsi="仿宋" w:eastAsia="仿宋" w:cs="仿宋"/>
          <w:sz w:val="32"/>
          <w:szCs w:val="32"/>
        </w:rPr>
      </w:pPr>
      <w:r>
        <w:rPr>
          <w:rFonts w:hint="eastAsia" w:ascii="楷体" w:hAnsi="楷体" w:eastAsia="楷体" w:cs="楷体"/>
          <w:color w:val="000000"/>
          <w:kern w:val="0"/>
          <w:sz w:val="32"/>
          <w:szCs w:val="32"/>
        </w:rPr>
        <w:t>项目单位：扶风县职业教育中心</w:t>
      </w:r>
    </w:p>
    <w:p w14:paraId="5A3D3964">
      <w:pPr>
        <w:widowControl/>
        <w:spacing w:line="600" w:lineRule="exact"/>
        <w:ind w:firstLine="1600" w:firstLineChars="500"/>
        <w:rPr>
          <w:rFonts w:ascii="仿宋" w:hAnsi="仿宋" w:eastAsia="楷体" w:cs="仿宋"/>
          <w:sz w:val="32"/>
          <w:szCs w:val="32"/>
        </w:rPr>
      </w:pPr>
      <w:r>
        <w:rPr>
          <w:rFonts w:hint="eastAsia" w:ascii="楷体" w:hAnsi="楷体" w:eastAsia="楷体" w:cs="楷体"/>
          <w:color w:val="000000"/>
          <w:kern w:val="0"/>
          <w:sz w:val="32"/>
          <w:szCs w:val="32"/>
        </w:rPr>
        <w:t>评价机构：扶风县财政局</w:t>
      </w:r>
    </w:p>
    <w:p w14:paraId="432FE7E9">
      <w:pPr>
        <w:widowControl/>
        <w:spacing w:line="600" w:lineRule="exact"/>
        <w:ind w:firstLine="1600" w:firstLineChars="5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p w14:paraId="21DECDAD">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p w14:paraId="132A0B98"/>
    <w:sdt>
      <w:sdtPr>
        <w:rPr>
          <w:rFonts w:ascii="宋体" w:hAnsi="宋体"/>
          <w:b w:val="0"/>
          <w:bCs w:val="0"/>
          <w:sz w:val="36"/>
          <w:szCs w:val="36"/>
        </w:rPr>
        <w:id w:val="147479055"/>
        <w:docPartObj>
          <w:docPartGallery w:val="Table of Contents"/>
          <w:docPartUnique/>
        </w:docPartObj>
      </w:sdtPr>
      <w:sdtEndPr>
        <w:rPr>
          <w:rFonts w:ascii="宋体" w:hAnsi="宋体"/>
          <w:b/>
          <w:bCs/>
          <w:sz w:val="36"/>
          <w:szCs w:val="36"/>
        </w:rPr>
      </w:sdtEndPr>
      <w:sdtContent>
        <w:p w14:paraId="2603A116">
          <w:pPr>
            <w:pStyle w:val="17"/>
            <w:tabs>
              <w:tab w:val="right" w:leader="dot" w:pos="8250"/>
            </w:tabs>
            <w:jc w:val="center"/>
            <w:rPr>
              <w:rFonts w:hint="eastAsia" w:ascii="宋体" w:hAnsi="宋体" w:eastAsia="宋体" w:cs="宋体"/>
              <w:b/>
              <w:bCs/>
              <w:sz w:val="36"/>
              <w:szCs w:val="36"/>
            </w:rPr>
          </w:pPr>
          <w:r>
            <w:rPr>
              <w:rFonts w:hint="eastAsia" w:ascii="宋体" w:hAnsi="宋体" w:eastAsia="宋体" w:cs="宋体"/>
              <w:b/>
              <w:bCs/>
              <w:sz w:val="36"/>
              <w:szCs w:val="36"/>
            </w:rPr>
            <w:t>目 录</w:t>
          </w:r>
          <w:bookmarkStart w:id="6" w:name="_Toc7428"/>
        </w:p>
        <w:p w14:paraId="11DF81BB">
          <w:pPr>
            <w:pStyle w:val="17"/>
            <w:tabs>
              <w:tab w:val="right" w:leader="dot" w:pos="8250"/>
            </w:tabs>
            <w:rPr>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TOC \o "1-3" \u </w:instrText>
          </w:r>
          <w:r>
            <w:rPr>
              <w:rFonts w:ascii="Times New Roman" w:hAnsi="Times New Roman" w:eastAsia="宋体" w:cs="Times New Roman"/>
              <w:sz w:val="28"/>
              <w:szCs w:val="28"/>
            </w:rPr>
            <w:fldChar w:fldCharType="separate"/>
          </w:r>
          <w:r>
            <w:rPr>
              <w:rFonts w:ascii="宋体" w:hAnsi="宋体" w:cs="宋体"/>
              <w:bCs/>
              <w:spacing w:val="-3"/>
              <w:sz w:val="28"/>
              <w:szCs w:val="28"/>
              <w14:textOutline w14:w="6540" w14:cap="sq" w14:cmpd="sng" w14:algn="ctr">
                <w14:solidFill>
                  <w14:srgbClr w14:val="000000"/>
                </w14:solidFill>
                <w14:prstDash w14:val="solid"/>
                <w14:bevel/>
              </w14:textOutline>
            </w:rPr>
            <w:t>摘</w:t>
          </w:r>
          <w:r>
            <w:rPr>
              <w:rFonts w:ascii="宋体" w:hAnsi="宋体" w:cs="宋体"/>
              <w:bCs/>
              <w:spacing w:val="27"/>
              <w:sz w:val="28"/>
              <w:szCs w:val="28"/>
            </w:rPr>
            <w:t xml:space="preserve"> </w:t>
          </w:r>
          <w:r>
            <w:rPr>
              <w:rFonts w:ascii="宋体" w:hAnsi="宋体" w:cs="宋体"/>
              <w:bCs/>
              <w:spacing w:val="-3"/>
              <w:sz w:val="28"/>
              <w:szCs w:val="28"/>
              <w14:textOutline w14:w="6540" w14:cap="sq" w14:cmpd="sng" w14:algn="ctr">
                <w14:solidFill>
                  <w14:srgbClr w14:val="000000"/>
                </w14:solidFill>
                <w14:prstDash w14:val="solid"/>
                <w14:bevel/>
              </w14:textOutline>
            </w:rPr>
            <w:t>要</w:t>
          </w:r>
          <w:r>
            <w:rPr>
              <w:sz w:val="28"/>
              <w:szCs w:val="28"/>
            </w:rPr>
            <w:tab/>
          </w:r>
          <w:r>
            <w:rPr>
              <w:sz w:val="28"/>
              <w:szCs w:val="28"/>
            </w:rPr>
            <w:fldChar w:fldCharType="begin"/>
          </w:r>
          <w:r>
            <w:rPr>
              <w:sz w:val="28"/>
              <w:szCs w:val="28"/>
            </w:rPr>
            <w:instrText xml:space="preserve"> PAGEREF _Toc18515 \h </w:instrText>
          </w:r>
          <w:r>
            <w:rPr>
              <w:sz w:val="28"/>
              <w:szCs w:val="28"/>
            </w:rPr>
            <w:fldChar w:fldCharType="separate"/>
          </w:r>
          <w:r>
            <w:rPr>
              <w:sz w:val="28"/>
              <w:szCs w:val="28"/>
            </w:rPr>
            <w:t>1</w:t>
          </w:r>
          <w:r>
            <w:rPr>
              <w:sz w:val="28"/>
              <w:szCs w:val="28"/>
            </w:rPr>
            <w:fldChar w:fldCharType="end"/>
          </w:r>
        </w:p>
        <w:p w14:paraId="251C30A9">
          <w:pPr>
            <w:pStyle w:val="17"/>
            <w:tabs>
              <w:tab w:val="right" w:leader="dot" w:pos="8250"/>
            </w:tabs>
            <w:rPr>
              <w:sz w:val="28"/>
              <w:szCs w:val="28"/>
            </w:rPr>
          </w:pPr>
          <w:r>
            <w:rPr>
              <w:rFonts w:hint="eastAsia" w:ascii="Times New Roman" w:hAnsi="Times New Roman" w:eastAsia="黑体" w:cs="Times New Roman"/>
              <w:b/>
              <w:bCs/>
              <w:kern w:val="44"/>
              <w:sz w:val="28"/>
              <w:szCs w:val="28"/>
              <w:lang w:val="en-US" w:eastAsia="zh-CN" w:bidi="ar-SA"/>
            </w:rPr>
            <w:t>一、基本情况</w:t>
          </w:r>
          <w:r>
            <w:rPr>
              <w:sz w:val="28"/>
              <w:szCs w:val="28"/>
            </w:rPr>
            <w:tab/>
          </w:r>
          <w:r>
            <w:rPr>
              <w:sz w:val="28"/>
              <w:szCs w:val="28"/>
            </w:rPr>
            <w:fldChar w:fldCharType="begin"/>
          </w:r>
          <w:r>
            <w:rPr>
              <w:sz w:val="28"/>
              <w:szCs w:val="28"/>
            </w:rPr>
            <w:instrText xml:space="preserve"> PAGEREF _Toc13353 \h </w:instrText>
          </w:r>
          <w:r>
            <w:rPr>
              <w:sz w:val="28"/>
              <w:szCs w:val="28"/>
            </w:rPr>
            <w:fldChar w:fldCharType="separate"/>
          </w:r>
          <w:r>
            <w:rPr>
              <w:sz w:val="28"/>
              <w:szCs w:val="28"/>
            </w:rPr>
            <w:t>1</w:t>
          </w:r>
          <w:r>
            <w:rPr>
              <w:sz w:val="28"/>
              <w:szCs w:val="28"/>
            </w:rPr>
            <w:fldChar w:fldCharType="end"/>
          </w:r>
        </w:p>
        <w:p w14:paraId="317326DD">
          <w:pPr>
            <w:pStyle w:val="19"/>
            <w:tabs>
              <w:tab w:val="right" w:leader="dot" w:pos="8250"/>
            </w:tabs>
            <w:rPr>
              <w:sz w:val="28"/>
              <w:szCs w:val="28"/>
            </w:rPr>
          </w:pPr>
          <w:r>
            <w:rPr>
              <w:rFonts w:hint="eastAsia" w:ascii="楷体_GB2312" w:hAnsi="楷体_GB2312" w:eastAsia="楷体_GB2312" w:cs="楷体_GB2312"/>
              <w:bCs/>
              <w:kern w:val="0"/>
              <w:sz w:val="28"/>
              <w:szCs w:val="28"/>
            </w:rPr>
            <w:t>（一）项目概况</w:t>
          </w:r>
          <w:r>
            <w:rPr>
              <w:sz w:val="28"/>
              <w:szCs w:val="28"/>
            </w:rPr>
            <w:tab/>
          </w:r>
          <w:r>
            <w:rPr>
              <w:sz w:val="28"/>
              <w:szCs w:val="28"/>
            </w:rPr>
            <w:fldChar w:fldCharType="begin"/>
          </w:r>
          <w:r>
            <w:rPr>
              <w:sz w:val="28"/>
              <w:szCs w:val="28"/>
            </w:rPr>
            <w:instrText xml:space="preserve"> PAGEREF _Toc6579 \h </w:instrText>
          </w:r>
          <w:r>
            <w:rPr>
              <w:sz w:val="28"/>
              <w:szCs w:val="28"/>
            </w:rPr>
            <w:fldChar w:fldCharType="separate"/>
          </w:r>
          <w:r>
            <w:rPr>
              <w:sz w:val="28"/>
              <w:szCs w:val="28"/>
            </w:rPr>
            <w:t>1</w:t>
          </w:r>
          <w:r>
            <w:rPr>
              <w:sz w:val="28"/>
              <w:szCs w:val="28"/>
            </w:rPr>
            <w:fldChar w:fldCharType="end"/>
          </w:r>
        </w:p>
        <w:p w14:paraId="141CA04D">
          <w:pPr>
            <w:pStyle w:val="19"/>
            <w:tabs>
              <w:tab w:val="right" w:leader="dot" w:pos="8250"/>
            </w:tabs>
            <w:rPr>
              <w:sz w:val="28"/>
              <w:szCs w:val="28"/>
            </w:rPr>
          </w:pPr>
          <w:r>
            <w:rPr>
              <w:rFonts w:hint="eastAsia" w:ascii="楷体_GB2312" w:hAnsi="楷体_GB2312" w:eastAsia="楷体_GB2312" w:cs="楷体_GB2312"/>
              <w:bCs/>
              <w:kern w:val="0"/>
              <w:sz w:val="28"/>
              <w:szCs w:val="28"/>
            </w:rPr>
            <w:t>（二）项目绩效目标</w:t>
          </w:r>
          <w:r>
            <w:rPr>
              <w:sz w:val="28"/>
              <w:szCs w:val="28"/>
            </w:rPr>
            <w:tab/>
          </w:r>
          <w:r>
            <w:rPr>
              <w:sz w:val="28"/>
              <w:szCs w:val="28"/>
            </w:rPr>
            <w:fldChar w:fldCharType="begin"/>
          </w:r>
          <w:r>
            <w:rPr>
              <w:sz w:val="28"/>
              <w:szCs w:val="28"/>
            </w:rPr>
            <w:instrText xml:space="preserve"> PAGEREF _Toc7653 \h </w:instrText>
          </w:r>
          <w:r>
            <w:rPr>
              <w:sz w:val="28"/>
              <w:szCs w:val="28"/>
            </w:rPr>
            <w:fldChar w:fldCharType="separate"/>
          </w:r>
          <w:r>
            <w:rPr>
              <w:sz w:val="28"/>
              <w:szCs w:val="28"/>
            </w:rPr>
            <w:t>3</w:t>
          </w:r>
          <w:r>
            <w:rPr>
              <w:sz w:val="28"/>
              <w:szCs w:val="28"/>
            </w:rPr>
            <w:fldChar w:fldCharType="end"/>
          </w:r>
        </w:p>
        <w:p w14:paraId="274B7DAE">
          <w:pPr>
            <w:pStyle w:val="17"/>
            <w:tabs>
              <w:tab w:val="right" w:leader="dot" w:pos="8250"/>
            </w:tabs>
            <w:rPr>
              <w:sz w:val="28"/>
              <w:szCs w:val="28"/>
            </w:rPr>
          </w:pPr>
          <w:r>
            <w:rPr>
              <w:rFonts w:hint="eastAsia" w:ascii="Times New Roman" w:hAnsi="Times New Roman" w:eastAsia="黑体" w:cs="Times New Roman"/>
              <w:b/>
              <w:bCs/>
              <w:kern w:val="44"/>
              <w:sz w:val="28"/>
              <w:szCs w:val="28"/>
              <w:lang w:val="en-US" w:eastAsia="zh-CN" w:bidi="ar-SA"/>
            </w:rPr>
            <w:t>二、绩效评价工作开展情况</w:t>
          </w:r>
          <w:r>
            <w:rPr>
              <w:sz w:val="28"/>
              <w:szCs w:val="28"/>
            </w:rPr>
            <w:tab/>
          </w:r>
          <w:r>
            <w:rPr>
              <w:sz w:val="28"/>
              <w:szCs w:val="28"/>
            </w:rPr>
            <w:fldChar w:fldCharType="begin"/>
          </w:r>
          <w:r>
            <w:rPr>
              <w:sz w:val="28"/>
              <w:szCs w:val="28"/>
            </w:rPr>
            <w:instrText xml:space="preserve"> PAGEREF _Toc8980 \h </w:instrText>
          </w:r>
          <w:r>
            <w:rPr>
              <w:sz w:val="28"/>
              <w:szCs w:val="28"/>
            </w:rPr>
            <w:fldChar w:fldCharType="separate"/>
          </w:r>
          <w:r>
            <w:rPr>
              <w:sz w:val="28"/>
              <w:szCs w:val="28"/>
            </w:rPr>
            <w:t>4</w:t>
          </w:r>
          <w:r>
            <w:rPr>
              <w:sz w:val="28"/>
              <w:szCs w:val="28"/>
            </w:rPr>
            <w:fldChar w:fldCharType="end"/>
          </w:r>
        </w:p>
        <w:p w14:paraId="1891A429">
          <w:pPr>
            <w:pStyle w:val="19"/>
            <w:tabs>
              <w:tab w:val="right" w:leader="dot" w:pos="8250"/>
            </w:tabs>
            <w:rPr>
              <w:sz w:val="28"/>
              <w:szCs w:val="28"/>
            </w:rPr>
          </w:pPr>
          <w:r>
            <w:rPr>
              <w:rFonts w:hint="eastAsia" w:ascii="楷体_GB2312" w:hAnsi="楷体_GB2312" w:eastAsia="楷体_GB2312" w:cs="楷体_GB2312"/>
              <w:bCs/>
              <w:kern w:val="0"/>
              <w:sz w:val="28"/>
              <w:szCs w:val="28"/>
            </w:rPr>
            <w:t>（一）绩效评价目的与重点</w:t>
          </w:r>
          <w:r>
            <w:rPr>
              <w:sz w:val="28"/>
              <w:szCs w:val="28"/>
            </w:rPr>
            <w:tab/>
          </w:r>
          <w:r>
            <w:rPr>
              <w:sz w:val="28"/>
              <w:szCs w:val="28"/>
            </w:rPr>
            <w:fldChar w:fldCharType="begin"/>
          </w:r>
          <w:r>
            <w:rPr>
              <w:sz w:val="28"/>
              <w:szCs w:val="28"/>
            </w:rPr>
            <w:instrText xml:space="preserve"> PAGEREF _Toc3496 \h </w:instrText>
          </w:r>
          <w:r>
            <w:rPr>
              <w:sz w:val="28"/>
              <w:szCs w:val="28"/>
            </w:rPr>
            <w:fldChar w:fldCharType="separate"/>
          </w:r>
          <w:r>
            <w:rPr>
              <w:sz w:val="28"/>
              <w:szCs w:val="28"/>
            </w:rPr>
            <w:t>4</w:t>
          </w:r>
          <w:r>
            <w:rPr>
              <w:sz w:val="28"/>
              <w:szCs w:val="28"/>
            </w:rPr>
            <w:fldChar w:fldCharType="end"/>
          </w:r>
        </w:p>
        <w:p w14:paraId="29690C27">
          <w:pPr>
            <w:pStyle w:val="19"/>
            <w:tabs>
              <w:tab w:val="right" w:leader="dot" w:pos="8250"/>
            </w:tabs>
            <w:rPr>
              <w:sz w:val="28"/>
              <w:szCs w:val="28"/>
            </w:rPr>
          </w:pPr>
          <w:r>
            <w:rPr>
              <w:rFonts w:hint="eastAsia" w:ascii="楷体_GB2312" w:hAnsi="楷体_GB2312" w:eastAsia="楷体_GB2312" w:cs="楷体_GB2312"/>
              <w:bCs/>
              <w:kern w:val="0"/>
              <w:sz w:val="28"/>
              <w:szCs w:val="28"/>
            </w:rPr>
            <w:t>（二）绩效评价指标与方法</w:t>
          </w:r>
          <w:r>
            <w:rPr>
              <w:sz w:val="28"/>
              <w:szCs w:val="28"/>
            </w:rPr>
            <w:tab/>
          </w:r>
          <w:r>
            <w:rPr>
              <w:sz w:val="28"/>
              <w:szCs w:val="28"/>
            </w:rPr>
            <w:fldChar w:fldCharType="begin"/>
          </w:r>
          <w:r>
            <w:rPr>
              <w:sz w:val="28"/>
              <w:szCs w:val="28"/>
            </w:rPr>
            <w:instrText xml:space="preserve"> PAGEREF _Toc4409 \h </w:instrText>
          </w:r>
          <w:r>
            <w:rPr>
              <w:sz w:val="28"/>
              <w:szCs w:val="28"/>
            </w:rPr>
            <w:fldChar w:fldCharType="separate"/>
          </w:r>
          <w:r>
            <w:rPr>
              <w:sz w:val="28"/>
              <w:szCs w:val="28"/>
            </w:rPr>
            <w:t>4</w:t>
          </w:r>
          <w:r>
            <w:rPr>
              <w:sz w:val="28"/>
              <w:szCs w:val="28"/>
            </w:rPr>
            <w:fldChar w:fldCharType="end"/>
          </w:r>
        </w:p>
        <w:p w14:paraId="450A76D4">
          <w:pPr>
            <w:pStyle w:val="19"/>
            <w:tabs>
              <w:tab w:val="right" w:leader="dot" w:pos="8250"/>
            </w:tabs>
            <w:rPr>
              <w:sz w:val="28"/>
              <w:szCs w:val="28"/>
            </w:rPr>
          </w:pPr>
          <w:r>
            <w:rPr>
              <w:rFonts w:hint="eastAsia" w:ascii="楷体_GB2312" w:hAnsi="楷体_GB2312" w:eastAsia="楷体_GB2312" w:cs="楷体_GB2312"/>
              <w:bCs/>
              <w:kern w:val="0"/>
              <w:sz w:val="28"/>
              <w:szCs w:val="28"/>
            </w:rPr>
            <w:t>（三）绩效评价工作过程</w:t>
          </w:r>
          <w:r>
            <w:rPr>
              <w:sz w:val="28"/>
              <w:szCs w:val="28"/>
            </w:rPr>
            <w:tab/>
          </w:r>
          <w:r>
            <w:rPr>
              <w:sz w:val="28"/>
              <w:szCs w:val="28"/>
            </w:rPr>
            <w:fldChar w:fldCharType="begin"/>
          </w:r>
          <w:r>
            <w:rPr>
              <w:sz w:val="28"/>
              <w:szCs w:val="28"/>
            </w:rPr>
            <w:instrText xml:space="preserve"> PAGEREF _Toc26507 \h </w:instrText>
          </w:r>
          <w:r>
            <w:rPr>
              <w:sz w:val="28"/>
              <w:szCs w:val="28"/>
            </w:rPr>
            <w:fldChar w:fldCharType="separate"/>
          </w:r>
          <w:r>
            <w:rPr>
              <w:sz w:val="28"/>
              <w:szCs w:val="28"/>
            </w:rPr>
            <w:t>7</w:t>
          </w:r>
          <w:r>
            <w:rPr>
              <w:sz w:val="28"/>
              <w:szCs w:val="28"/>
            </w:rPr>
            <w:fldChar w:fldCharType="end"/>
          </w:r>
        </w:p>
        <w:p w14:paraId="4CB3B12D">
          <w:pPr>
            <w:pStyle w:val="17"/>
            <w:tabs>
              <w:tab w:val="right" w:leader="dot" w:pos="8250"/>
            </w:tabs>
            <w:rPr>
              <w:sz w:val="28"/>
              <w:szCs w:val="28"/>
            </w:rPr>
          </w:pPr>
          <w:r>
            <w:rPr>
              <w:rFonts w:hint="eastAsia" w:ascii="Times New Roman" w:hAnsi="Times New Roman" w:eastAsia="黑体" w:cs="Times New Roman"/>
              <w:b/>
              <w:bCs/>
              <w:kern w:val="44"/>
              <w:sz w:val="28"/>
              <w:szCs w:val="28"/>
              <w:lang w:val="en-US" w:eastAsia="zh-CN" w:bidi="ar-SA"/>
            </w:rPr>
            <w:t>三、综合评价情况及评价结论</w:t>
          </w:r>
          <w:r>
            <w:rPr>
              <w:sz w:val="28"/>
              <w:szCs w:val="28"/>
            </w:rPr>
            <w:tab/>
          </w:r>
          <w:r>
            <w:rPr>
              <w:sz w:val="28"/>
              <w:szCs w:val="28"/>
            </w:rPr>
            <w:fldChar w:fldCharType="begin"/>
          </w:r>
          <w:r>
            <w:rPr>
              <w:sz w:val="28"/>
              <w:szCs w:val="28"/>
            </w:rPr>
            <w:instrText xml:space="preserve"> PAGEREF _Toc180 \h </w:instrText>
          </w:r>
          <w:r>
            <w:rPr>
              <w:sz w:val="28"/>
              <w:szCs w:val="28"/>
            </w:rPr>
            <w:fldChar w:fldCharType="separate"/>
          </w:r>
          <w:r>
            <w:rPr>
              <w:sz w:val="28"/>
              <w:szCs w:val="28"/>
            </w:rPr>
            <w:t>10</w:t>
          </w:r>
          <w:r>
            <w:rPr>
              <w:sz w:val="28"/>
              <w:szCs w:val="28"/>
            </w:rPr>
            <w:fldChar w:fldCharType="end"/>
          </w:r>
        </w:p>
        <w:p w14:paraId="385791E2">
          <w:pPr>
            <w:pStyle w:val="17"/>
            <w:tabs>
              <w:tab w:val="right" w:leader="dot" w:pos="8250"/>
            </w:tabs>
            <w:rPr>
              <w:sz w:val="28"/>
              <w:szCs w:val="28"/>
            </w:rPr>
          </w:pPr>
          <w:r>
            <w:rPr>
              <w:rFonts w:hint="eastAsia" w:ascii="Times New Roman" w:hAnsi="Times New Roman" w:eastAsia="黑体" w:cs="Times New Roman"/>
              <w:b/>
              <w:bCs/>
              <w:kern w:val="44"/>
              <w:sz w:val="28"/>
              <w:szCs w:val="28"/>
              <w:lang w:val="en-US" w:eastAsia="zh-CN" w:bidi="ar-SA"/>
            </w:rPr>
            <w:t>四、绩效评价指标分析</w:t>
          </w:r>
          <w:r>
            <w:rPr>
              <w:sz w:val="28"/>
              <w:szCs w:val="28"/>
            </w:rPr>
            <w:tab/>
          </w:r>
          <w:r>
            <w:rPr>
              <w:sz w:val="28"/>
              <w:szCs w:val="28"/>
            </w:rPr>
            <w:fldChar w:fldCharType="begin"/>
          </w:r>
          <w:r>
            <w:rPr>
              <w:sz w:val="28"/>
              <w:szCs w:val="28"/>
            </w:rPr>
            <w:instrText xml:space="preserve"> PAGEREF _Toc25421 \h </w:instrText>
          </w:r>
          <w:r>
            <w:rPr>
              <w:sz w:val="28"/>
              <w:szCs w:val="28"/>
            </w:rPr>
            <w:fldChar w:fldCharType="separate"/>
          </w:r>
          <w:r>
            <w:rPr>
              <w:sz w:val="28"/>
              <w:szCs w:val="28"/>
            </w:rPr>
            <w:t>10</w:t>
          </w:r>
          <w:r>
            <w:rPr>
              <w:sz w:val="28"/>
              <w:szCs w:val="28"/>
            </w:rPr>
            <w:fldChar w:fldCharType="end"/>
          </w:r>
        </w:p>
        <w:p w14:paraId="0C725AE2">
          <w:pPr>
            <w:pStyle w:val="19"/>
            <w:tabs>
              <w:tab w:val="right" w:leader="dot" w:pos="8250"/>
            </w:tabs>
            <w:rPr>
              <w:sz w:val="28"/>
              <w:szCs w:val="28"/>
            </w:rPr>
          </w:pPr>
          <w:r>
            <w:rPr>
              <w:rFonts w:hint="eastAsia" w:ascii="楷体_GB2312" w:hAnsi="楷体_GB2312" w:eastAsia="楷体_GB2312" w:cs="楷体_GB2312"/>
              <w:bCs/>
              <w:kern w:val="0"/>
              <w:sz w:val="28"/>
              <w:szCs w:val="28"/>
            </w:rPr>
            <w:t>（一）决策指标</w:t>
          </w:r>
          <w:r>
            <w:rPr>
              <w:sz w:val="28"/>
              <w:szCs w:val="28"/>
            </w:rPr>
            <w:tab/>
          </w:r>
          <w:r>
            <w:rPr>
              <w:sz w:val="28"/>
              <w:szCs w:val="28"/>
            </w:rPr>
            <w:fldChar w:fldCharType="begin"/>
          </w:r>
          <w:r>
            <w:rPr>
              <w:sz w:val="28"/>
              <w:szCs w:val="28"/>
            </w:rPr>
            <w:instrText xml:space="preserve"> PAGEREF _Toc27119 \h </w:instrText>
          </w:r>
          <w:r>
            <w:rPr>
              <w:sz w:val="28"/>
              <w:szCs w:val="28"/>
            </w:rPr>
            <w:fldChar w:fldCharType="separate"/>
          </w:r>
          <w:r>
            <w:rPr>
              <w:sz w:val="28"/>
              <w:szCs w:val="28"/>
            </w:rPr>
            <w:t>10</w:t>
          </w:r>
          <w:r>
            <w:rPr>
              <w:sz w:val="28"/>
              <w:szCs w:val="28"/>
            </w:rPr>
            <w:fldChar w:fldCharType="end"/>
          </w:r>
        </w:p>
        <w:p w14:paraId="0FA2D7C2">
          <w:pPr>
            <w:pStyle w:val="19"/>
            <w:tabs>
              <w:tab w:val="right" w:leader="dot" w:pos="8250"/>
            </w:tabs>
            <w:rPr>
              <w:sz w:val="28"/>
              <w:szCs w:val="28"/>
            </w:rPr>
          </w:pPr>
          <w:r>
            <w:rPr>
              <w:rFonts w:hint="eastAsia" w:ascii="楷体_GB2312" w:hAnsi="楷体_GB2312" w:eastAsia="楷体_GB2312" w:cs="楷体_GB2312"/>
              <w:bCs/>
              <w:kern w:val="0"/>
              <w:sz w:val="28"/>
              <w:szCs w:val="28"/>
            </w:rPr>
            <w:t>（二）过程指标</w:t>
          </w:r>
          <w:r>
            <w:rPr>
              <w:sz w:val="28"/>
              <w:szCs w:val="28"/>
            </w:rPr>
            <w:tab/>
          </w:r>
          <w:r>
            <w:rPr>
              <w:sz w:val="28"/>
              <w:szCs w:val="28"/>
            </w:rPr>
            <w:fldChar w:fldCharType="begin"/>
          </w:r>
          <w:r>
            <w:rPr>
              <w:sz w:val="28"/>
              <w:szCs w:val="28"/>
            </w:rPr>
            <w:instrText xml:space="preserve"> PAGEREF _Toc24755 \h </w:instrText>
          </w:r>
          <w:r>
            <w:rPr>
              <w:sz w:val="28"/>
              <w:szCs w:val="28"/>
            </w:rPr>
            <w:fldChar w:fldCharType="separate"/>
          </w:r>
          <w:r>
            <w:rPr>
              <w:sz w:val="28"/>
              <w:szCs w:val="28"/>
            </w:rPr>
            <w:t>13</w:t>
          </w:r>
          <w:r>
            <w:rPr>
              <w:sz w:val="28"/>
              <w:szCs w:val="28"/>
            </w:rPr>
            <w:fldChar w:fldCharType="end"/>
          </w:r>
        </w:p>
        <w:p w14:paraId="02BFDC17">
          <w:pPr>
            <w:pStyle w:val="19"/>
            <w:tabs>
              <w:tab w:val="right" w:leader="dot" w:pos="8250"/>
            </w:tabs>
            <w:rPr>
              <w:sz w:val="28"/>
              <w:szCs w:val="28"/>
            </w:rPr>
          </w:pPr>
          <w:r>
            <w:rPr>
              <w:rFonts w:hint="eastAsia" w:ascii="楷体_GB2312" w:hAnsi="楷体_GB2312" w:eastAsia="楷体_GB2312" w:cs="楷体_GB2312"/>
              <w:bCs/>
              <w:kern w:val="0"/>
              <w:sz w:val="28"/>
              <w:szCs w:val="28"/>
            </w:rPr>
            <w:t>（三）产出指标</w:t>
          </w:r>
          <w:r>
            <w:rPr>
              <w:sz w:val="28"/>
              <w:szCs w:val="28"/>
            </w:rPr>
            <w:tab/>
          </w:r>
          <w:r>
            <w:rPr>
              <w:sz w:val="28"/>
              <w:szCs w:val="28"/>
            </w:rPr>
            <w:fldChar w:fldCharType="begin"/>
          </w:r>
          <w:r>
            <w:rPr>
              <w:sz w:val="28"/>
              <w:szCs w:val="28"/>
            </w:rPr>
            <w:instrText xml:space="preserve"> PAGEREF _Toc23195 \h </w:instrText>
          </w:r>
          <w:r>
            <w:rPr>
              <w:sz w:val="28"/>
              <w:szCs w:val="28"/>
            </w:rPr>
            <w:fldChar w:fldCharType="separate"/>
          </w:r>
          <w:r>
            <w:rPr>
              <w:sz w:val="28"/>
              <w:szCs w:val="28"/>
            </w:rPr>
            <w:t>15</w:t>
          </w:r>
          <w:r>
            <w:rPr>
              <w:sz w:val="28"/>
              <w:szCs w:val="28"/>
            </w:rPr>
            <w:fldChar w:fldCharType="end"/>
          </w:r>
        </w:p>
        <w:p w14:paraId="4495A152">
          <w:pPr>
            <w:pStyle w:val="19"/>
            <w:tabs>
              <w:tab w:val="right" w:leader="dot" w:pos="8250"/>
            </w:tabs>
            <w:rPr>
              <w:sz w:val="28"/>
              <w:szCs w:val="28"/>
            </w:rPr>
          </w:pPr>
          <w:r>
            <w:rPr>
              <w:rFonts w:hint="eastAsia" w:ascii="楷体_GB2312" w:hAnsi="楷体_GB2312" w:eastAsia="楷体_GB2312" w:cs="楷体_GB2312"/>
              <w:bCs/>
              <w:kern w:val="0"/>
              <w:sz w:val="28"/>
              <w:szCs w:val="28"/>
            </w:rPr>
            <w:t>（四）效益指标</w:t>
          </w:r>
          <w:r>
            <w:rPr>
              <w:sz w:val="28"/>
              <w:szCs w:val="28"/>
            </w:rPr>
            <w:tab/>
          </w:r>
          <w:r>
            <w:rPr>
              <w:sz w:val="28"/>
              <w:szCs w:val="28"/>
            </w:rPr>
            <w:fldChar w:fldCharType="begin"/>
          </w:r>
          <w:r>
            <w:rPr>
              <w:sz w:val="28"/>
              <w:szCs w:val="28"/>
            </w:rPr>
            <w:instrText xml:space="preserve"> PAGEREF _Toc6074 \h </w:instrText>
          </w:r>
          <w:r>
            <w:rPr>
              <w:sz w:val="28"/>
              <w:szCs w:val="28"/>
            </w:rPr>
            <w:fldChar w:fldCharType="separate"/>
          </w:r>
          <w:r>
            <w:rPr>
              <w:sz w:val="28"/>
              <w:szCs w:val="28"/>
            </w:rPr>
            <w:t>16</w:t>
          </w:r>
          <w:r>
            <w:rPr>
              <w:sz w:val="28"/>
              <w:szCs w:val="28"/>
            </w:rPr>
            <w:fldChar w:fldCharType="end"/>
          </w:r>
        </w:p>
        <w:p w14:paraId="64E5D6AD">
          <w:pPr>
            <w:pStyle w:val="17"/>
            <w:tabs>
              <w:tab w:val="right" w:leader="dot" w:pos="8250"/>
            </w:tabs>
            <w:rPr>
              <w:sz w:val="28"/>
              <w:szCs w:val="28"/>
            </w:rPr>
          </w:pPr>
          <w:r>
            <w:rPr>
              <w:rFonts w:hint="eastAsia" w:ascii="Times New Roman" w:hAnsi="Times New Roman" w:eastAsia="黑体" w:cs="Times New Roman"/>
              <w:b/>
              <w:bCs/>
              <w:kern w:val="44"/>
              <w:sz w:val="28"/>
              <w:szCs w:val="28"/>
              <w:lang w:val="en-US" w:eastAsia="zh-CN" w:bidi="ar-SA"/>
            </w:rPr>
            <w:t>五、存在的问题</w:t>
          </w:r>
          <w:r>
            <w:rPr>
              <w:sz w:val="28"/>
              <w:szCs w:val="28"/>
            </w:rPr>
            <w:tab/>
          </w:r>
          <w:r>
            <w:rPr>
              <w:sz w:val="28"/>
              <w:szCs w:val="28"/>
            </w:rPr>
            <w:fldChar w:fldCharType="begin"/>
          </w:r>
          <w:r>
            <w:rPr>
              <w:sz w:val="28"/>
              <w:szCs w:val="28"/>
            </w:rPr>
            <w:instrText xml:space="preserve"> PAGEREF _Toc20358 \h </w:instrText>
          </w:r>
          <w:r>
            <w:rPr>
              <w:sz w:val="28"/>
              <w:szCs w:val="28"/>
            </w:rPr>
            <w:fldChar w:fldCharType="separate"/>
          </w:r>
          <w:r>
            <w:rPr>
              <w:sz w:val="28"/>
              <w:szCs w:val="28"/>
            </w:rPr>
            <w:t>17</w:t>
          </w:r>
          <w:r>
            <w:rPr>
              <w:sz w:val="28"/>
              <w:szCs w:val="28"/>
            </w:rPr>
            <w:fldChar w:fldCharType="end"/>
          </w:r>
        </w:p>
        <w:p w14:paraId="5B3F8E12">
          <w:pPr>
            <w:pStyle w:val="19"/>
            <w:tabs>
              <w:tab w:val="right" w:leader="dot" w:pos="8250"/>
            </w:tabs>
            <w:rPr>
              <w:sz w:val="28"/>
              <w:szCs w:val="28"/>
            </w:rPr>
          </w:pPr>
          <w:r>
            <w:rPr>
              <w:rFonts w:hint="eastAsia" w:ascii="楷体_GB2312" w:hAnsi="楷体_GB2312" w:eastAsia="楷体_GB2312" w:cs="楷体_GB2312"/>
              <w:bCs/>
              <w:kern w:val="0"/>
              <w:sz w:val="28"/>
              <w:szCs w:val="28"/>
            </w:rPr>
            <w:t>（一）</w:t>
          </w:r>
          <w:r>
            <w:rPr>
              <w:rFonts w:hint="eastAsia" w:ascii="楷体_GB2312" w:hAnsi="楷体_GB2312" w:eastAsia="楷体_GB2312" w:cs="楷体_GB2312"/>
              <w:bCs/>
              <w:kern w:val="0"/>
              <w:sz w:val="28"/>
              <w:szCs w:val="28"/>
              <w:lang w:val="en-US" w:eastAsia="zh-CN"/>
            </w:rPr>
            <w:t>预算执行率偏低</w:t>
          </w:r>
          <w:r>
            <w:rPr>
              <w:sz w:val="28"/>
              <w:szCs w:val="28"/>
            </w:rPr>
            <w:tab/>
          </w:r>
          <w:r>
            <w:rPr>
              <w:sz w:val="28"/>
              <w:szCs w:val="28"/>
            </w:rPr>
            <w:fldChar w:fldCharType="begin"/>
          </w:r>
          <w:r>
            <w:rPr>
              <w:sz w:val="28"/>
              <w:szCs w:val="28"/>
            </w:rPr>
            <w:instrText xml:space="preserve"> PAGEREF _Toc19354 \h </w:instrText>
          </w:r>
          <w:r>
            <w:rPr>
              <w:sz w:val="28"/>
              <w:szCs w:val="28"/>
            </w:rPr>
            <w:fldChar w:fldCharType="separate"/>
          </w:r>
          <w:r>
            <w:rPr>
              <w:sz w:val="28"/>
              <w:szCs w:val="28"/>
            </w:rPr>
            <w:t>17</w:t>
          </w:r>
          <w:r>
            <w:rPr>
              <w:sz w:val="28"/>
              <w:szCs w:val="28"/>
            </w:rPr>
            <w:fldChar w:fldCharType="end"/>
          </w:r>
        </w:p>
        <w:p w14:paraId="46E68B60">
          <w:pPr>
            <w:pStyle w:val="19"/>
            <w:tabs>
              <w:tab w:val="right" w:leader="dot" w:pos="8250"/>
            </w:tabs>
            <w:rPr>
              <w:sz w:val="28"/>
              <w:szCs w:val="28"/>
            </w:rPr>
          </w:pPr>
          <w:r>
            <w:rPr>
              <w:rFonts w:hint="eastAsia" w:ascii="楷体_GB2312" w:hAnsi="楷体_GB2312" w:eastAsia="楷体_GB2312" w:cs="楷体_GB2312"/>
              <w:bCs/>
              <w:kern w:val="0"/>
              <w:sz w:val="28"/>
              <w:szCs w:val="28"/>
              <w:lang w:eastAsia="zh-CN"/>
            </w:rPr>
            <w:t>（</w:t>
          </w:r>
          <w:r>
            <w:rPr>
              <w:rFonts w:hint="eastAsia" w:ascii="楷体_GB2312" w:hAnsi="楷体_GB2312" w:eastAsia="楷体_GB2312" w:cs="楷体_GB2312"/>
              <w:bCs/>
              <w:kern w:val="0"/>
              <w:sz w:val="28"/>
              <w:szCs w:val="28"/>
              <w:lang w:val="en-US" w:eastAsia="zh-CN"/>
            </w:rPr>
            <w:t>二）</w:t>
          </w:r>
          <w:r>
            <w:rPr>
              <w:rFonts w:hint="eastAsia" w:ascii="楷体_GB2312" w:hAnsi="楷体_GB2312" w:eastAsia="楷体_GB2312" w:cs="楷体_GB2312"/>
              <w:bCs/>
              <w:kern w:val="0"/>
              <w:sz w:val="28"/>
              <w:szCs w:val="28"/>
            </w:rPr>
            <w:t>管理制度不够健全</w:t>
          </w:r>
          <w:r>
            <w:rPr>
              <w:sz w:val="28"/>
              <w:szCs w:val="28"/>
            </w:rPr>
            <w:tab/>
          </w:r>
          <w:r>
            <w:rPr>
              <w:sz w:val="28"/>
              <w:szCs w:val="28"/>
            </w:rPr>
            <w:fldChar w:fldCharType="begin"/>
          </w:r>
          <w:r>
            <w:rPr>
              <w:sz w:val="28"/>
              <w:szCs w:val="28"/>
            </w:rPr>
            <w:instrText xml:space="preserve"> PAGEREF _Toc23074 \h </w:instrText>
          </w:r>
          <w:r>
            <w:rPr>
              <w:sz w:val="28"/>
              <w:szCs w:val="28"/>
            </w:rPr>
            <w:fldChar w:fldCharType="separate"/>
          </w:r>
          <w:r>
            <w:rPr>
              <w:sz w:val="28"/>
              <w:szCs w:val="28"/>
            </w:rPr>
            <w:t>17</w:t>
          </w:r>
          <w:r>
            <w:rPr>
              <w:sz w:val="28"/>
              <w:szCs w:val="28"/>
            </w:rPr>
            <w:fldChar w:fldCharType="end"/>
          </w:r>
        </w:p>
        <w:p w14:paraId="10B22E8B">
          <w:pPr>
            <w:pStyle w:val="17"/>
            <w:tabs>
              <w:tab w:val="right" w:leader="dot" w:pos="8250"/>
            </w:tabs>
            <w:rPr>
              <w:sz w:val="28"/>
              <w:szCs w:val="28"/>
            </w:rPr>
          </w:pPr>
          <w:r>
            <w:rPr>
              <w:rFonts w:hint="eastAsia" w:ascii="Times New Roman" w:hAnsi="Times New Roman" w:eastAsia="黑体" w:cs="Times New Roman"/>
              <w:b/>
              <w:bCs/>
              <w:kern w:val="44"/>
              <w:sz w:val="28"/>
              <w:szCs w:val="28"/>
              <w:lang w:val="en-US" w:eastAsia="zh-CN" w:bidi="ar-SA"/>
            </w:rPr>
            <w:t>六、建议</w:t>
          </w:r>
          <w:r>
            <w:rPr>
              <w:sz w:val="28"/>
              <w:szCs w:val="28"/>
            </w:rPr>
            <w:tab/>
          </w:r>
          <w:r>
            <w:rPr>
              <w:sz w:val="28"/>
              <w:szCs w:val="28"/>
            </w:rPr>
            <w:fldChar w:fldCharType="begin"/>
          </w:r>
          <w:r>
            <w:rPr>
              <w:sz w:val="28"/>
              <w:szCs w:val="28"/>
            </w:rPr>
            <w:instrText xml:space="preserve"> PAGEREF _Toc7856 \h </w:instrText>
          </w:r>
          <w:r>
            <w:rPr>
              <w:sz w:val="28"/>
              <w:szCs w:val="28"/>
            </w:rPr>
            <w:fldChar w:fldCharType="separate"/>
          </w:r>
          <w:r>
            <w:rPr>
              <w:sz w:val="28"/>
              <w:szCs w:val="28"/>
            </w:rPr>
            <w:t>17</w:t>
          </w:r>
          <w:r>
            <w:rPr>
              <w:sz w:val="28"/>
              <w:szCs w:val="28"/>
            </w:rPr>
            <w:fldChar w:fldCharType="end"/>
          </w:r>
        </w:p>
        <w:p w14:paraId="5CD8D1A8">
          <w:pPr>
            <w:pStyle w:val="19"/>
            <w:tabs>
              <w:tab w:val="right" w:leader="dot" w:pos="8250"/>
            </w:tabs>
            <w:rPr>
              <w:sz w:val="28"/>
              <w:szCs w:val="28"/>
            </w:rPr>
          </w:pPr>
          <w:r>
            <w:rPr>
              <w:rFonts w:hint="eastAsia" w:ascii="楷体_GB2312" w:hAnsi="楷体_GB2312" w:eastAsia="楷体_GB2312" w:cs="楷体_GB2312"/>
              <w:bCs/>
              <w:kern w:val="0"/>
              <w:sz w:val="28"/>
              <w:szCs w:val="28"/>
              <w:lang w:eastAsia="zh-CN"/>
            </w:rPr>
            <w:t>（一）加</w:t>
          </w:r>
          <w:r>
            <w:rPr>
              <w:rFonts w:hint="eastAsia" w:ascii="楷体_GB2312" w:hAnsi="楷体_GB2312" w:eastAsia="楷体_GB2312" w:cs="楷体_GB2312"/>
              <w:bCs/>
              <w:kern w:val="0"/>
              <w:sz w:val="28"/>
              <w:szCs w:val="28"/>
              <w:lang w:val="en-US" w:eastAsia="zh-CN"/>
            </w:rPr>
            <w:t>快</w:t>
          </w:r>
          <w:r>
            <w:rPr>
              <w:rFonts w:hint="eastAsia" w:ascii="楷体_GB2312" w:hAnsi="楷体_GB2312" w:eastAsia="楷体_GB2312" w:cs="楷体_GB2312"/>
              <w:bCs/>
              <w:kern w:val="0"/>
              <w:sz w:val="28"/>
              <w:szCs w:val="28"/>
              <w:lang w:eastAsia="zh-CN"/>
            </w:rPr>
            <w:t>资金</w:t>
          </w:r>
          <w:r>
            <w:rPr>
              <w:rFonts w:hint="eastAsia" w:ascii="楷体_GB2312" w:hAnsi="楷体_GB2312" w:eastAsia="楷体_GB2312" w:cs="楷体_GB2312"/>
              <w:bCs/>
              <w:kern w:val="0"/>
              <w:sz w:val="28"/>
              <w:szCs w:val="28"/>
              <w:lang w:val="en-US" w:eastAsia="zh-CN"/>
            </w:rPr>
            <w:t>使用</w:t>
          </w:r>
          <w:r>
            <w:rPr>
              <w:rFonts w:hint="eastAsia" w:ascii="楷体_GB2312" w:hAnsi="楷体_GB2312" w:eastAsia="楷体_GB2312" w:cs="楷体_GB2312"/>
              <w:bCs/>
              <w:kern w:val="0"/>
              <w:sz w:val="28"/>
              <w:szCs w:val="28"/>
              <w:lang w:eastAsia="zh-CN"/>
            </w:rPr>
            <w:t>进度</w:t>
          </w:r>
          <w:r>
            <w:rPr>
              <w:sz w:val="28"/>
              <w:szCs w:val="28"/>
            </w:rPr>
            <w:tab/>
          </w:r>
          <w:r>
            <w:rPr>
              <w:sz w:val="28"/>
              <w:szCs w:val="28"/>
            </w:rPr>
            <w:fldChar w:fldCharType="begin"/>
          </w:r>
          <w:r>
            <w:rPr>
              <w:sz w:val="28"/>
              <w:szCs w:val="28"/>
            </w:rPr>
            <w:instrText xml:space="preserve"> PAGEREF _Toc22341 \h </w:instrText>
          </w:r>
          <w:r>
            <w:rPr>
              <w:sz w:val="28"/>
              <w:szCs w:val="28"/>
            </w:rPr>
            <w:fldChar w:fldCharType="separate"/>
          </w:r>
          <w:r>
            <w:rPr>
              <w:sz w:val="28"/>
              <w:szCs w:val="28"/>
            </w:rPr>
            <w:t>17</w:t>
          </w:r>
          <w:r>
            <w:rPr>
              <w:sz w:val="28"/>
              <w:szCs w:val="28"/>
            </w:rPr>
            <w:fldChar w:fldCharType="end"/>
          </w:r>
        </w:p>
        <w:p w14:paraId="46919BB4">
          <w:pPr>
            <w:pStyle w:val="19"/>
            <w:tabs>
              <w:tab w:val="right" w:leader="dot" w:pos="8250"/>
            </w:tabs>
            <w:rPr>
              <w:sz w:val="28"/>
              <w:szCs w:val="28"/>
            </w:rPr>
          </w:pPr>
          <w:r>
            <w:rPr>
              <w:rFonts w:hint="eastAsia" w:ascii="楷体_GB2312" w:hAnsi="楷体_GB2312" w:eastAsia="楷体_GB2312" w:cs="楷体_GB2312"/>
              <w:bCs/>
              <w:kern w:val="0"/>
              <w:sz w:val="28"/>
              <w:szCs w:val="28"/>
              <w:lang w:eastAsia="zh-CN"/>
            </w:rPr>
            <w:t>（</w:t>
          </w:r>
          <w:r>
            <w:rPr>
              <w:rFonts w:hint="eastAsia" w:ascii="楷体_GB2312" w:hAnsi="楷体_GB2312" w:eastAsia="楷体_GB2312" w:cs="楷体_GB2312"/>
              <w:bCs/>
              <w:kern w:val="0"/>
              <w:sz w:val="28"/>
              <w:szCs w:val="28"/>
              <w:lang w:val="en-US" w:eastAsia="zh-CN"/>
            </w:rPr>
            <w:t>二）</w:t>
          </w:r>
          <w:r>
            <w:rPr>
              <w:rFonts w:hint="eastAsia" w:ascii="楷体_GB2312" w:hAnsi="楷体_GB2312" w:eastAsia="楷体_GB2312" w:cs="楷体_GB2312"/>
              <w:bCs/>
              <w:kern w:val="0"/>
              <w:sz w:val="28"/>
              <w:szCs w:val="28"/>
              <w:lang w:eastAsia="zh-CN"/>
            </w:rPr>
            <w:t>制定相关制度，加强绩效管理</w:t>
          </w:r>
          <w:r>
            <w:rPr>
              <w:sz w:val="28"/>
              <w:szCs w:val="28"/>
            </w:rPr>
            <w:tab/>
          </w:r>
          <w:r>
            <w:rPr>
              <w:sz w:val="28"/>
              <w:szCs w:val="28"/>
            </w:rPr>
            <w:fldChar w:fldCharType="begin"/>
          </w:r>
          <w:r>
            <w:rPr>
              <w:sz w:val="28"/>
              <w:szCs w:val="28"/>
            </w:rPr>
            <w:instrText xml:space="preserve"> PAGEREF _Toc22202 \h </w:instrText>
          </w:r>
          <w:r>
            <w:rPr>
              <w:sz w:val="28"/>
              <w:szCs w:val="28"/>
            </w:rPr>
            <w:fldChar w:fldCharType="separate"/>
          </w:r>
          <w:r>
            <w:rPr>
              <w:sz w:val="28"/>
              <w:szCs w:val="28"/>
            </w:rPr>
            <w:t>18</w:t>
          </w:r>
          <w:r>
            <w:rPr>
              <w:sz w:val="28"/>
              <w:szCs w:val="28"/>
            </w:rPr>
            <w:fldChar w:fldCharType="end"/>
          </w:r>
        </w:p>
        <w:p w14:paraId="4C63B469">
          <w:pPr>
            <w:pStyle w:val="17"/>
            <w:tabs>
              <w:tab w:val="right" w:leader="dot" w:pos="8250"/>
            </w:tabs>
            <w:rPr>
              <w:sz w:val="28"/>
              <w:szCs w:val="28"/>
            </w:rPr>
          </w:pPr>
          <w:r>
            <w:rPr>
              <w:rFonts w:hint="eastAsia" w:ascii="仿宋" w:hAnsi="仿宋" w:eastAsia="仿宋" w:cs="仿宋"/>
              <w:kern w:val="0"/>
              <w:sz w:val="28"/>
              <w:szCs w:val="28"/>
            </w:rPr>
            <w:t>附</w:t>
          </w:r>
          <w:r>
            <w:rPr>
              <w:rFonts w:hint="eastAsia" w:ascii="仿宋" w:hAnsi="仿宋" w:eastAsia="仿宋" w:cs="仿宋"/>
              <w:kern w:val="0"/>
              <w:sz w:val="28"/>
              <w:szCs w:val="28"/>
              <w:lang w:val="en-US" w:eastAsia="zh-CN"/>
            </w:rPr>
            <w:t>件</w:t>
          </w:r>
          <w:r>
            <w:rPr>
              <w:rFonts w:hint="eastAsia" w:ascii="仿宋" w:hAnsi="仿宋" w:eastAsia="仿宋" w:cs="仿宋"/>
              <w:kern w:val="0"/>
              <w:sz w:val="28"/>
              <w:szCs w:val="28"/>
            </w:rPr>
            <w:t>1.项目绩效评价指标体系打分表</w:t>
          </w:r>
          <w:r>
            <w:rPr>
              <w:sz w:val="28"/>
              <w:szCs w:val="28"/>
            </w:rPr>
            <w:tab/>
          </w:r>
          <w:r>
            <w:rPr>
              <w:sz w:val="28"/>
              <w:szCs w:val="28"/>
            </w:rPr>
            <w:fldChar w:fldCharType="begin"/>
          </w:r>
          <w:r>
            <w:rPr>
              <w:sz w:val="28"/>
              <w:szCs w:val="28"/>
            </w:rPr>
            <w:instrText xml:space="preserve"> PAGEREF _Toc26859 \h </w:instrText>
          </w:r>
          <w:r>
            <w:rPr>
              <w:sz w:val="28"/>
              <w:szCs w:val="28"/>
            </w:rPr>
            <w:fldChar w:fldCharType="separate"/>
          </w:r>
          <w:r>
            <w:rPr>
              <w:sz w:val="28"/>
              <w:szCs w:val="28"/>
            </w:rPr>
            <w:t>18</w:t>
          </w:r>
          <w:r>
            <w:rPr>
              <w:sz w:val="28"/>
              <w:szCs w:val="28"/>
            </w:rPr>
            <w:fldChar w:fldCharType="end"/>
          </w:r>
        </w:p>
        <w:p w14:paraId="25A7A7BD">
          <w:pPr>
            <w:pStyle w:val="17"/>
            <w:tabs>
              <w:tab w:val="right" w:leader="dot" w:pos="8250"/>
            </w:tabs>
          </w:pPr>
          <w:r>
            <w:rPr>
              <w:rFonts w:ascii="Times New Roman" w:hAnsi="Times New Roman" w:eastAsia="宋体" w:cs="Times New Roman"/>
              <w:sz w:val="28"/>
              <w:szCs w:val="28"/>
            </w:rPr>
            <w:fldChar w:fldCharType="end"/>
          </w:r>
        </w:p>
      </w:sdtContent>
    </w:sdt>
    <w:p w14:paraId="61662F13">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4141DF71">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7" w:name="_Toc18515"/>
      <w:bookmarkStart w:id="8" w:name="_Toc5959"/>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6"/>
      <w:bookmarkEnd w:id="7"/>
      <w:bookmarkEnd w:id="8"/>
    </w:p>
    <w:p w14:paraId="761BD773">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了解决扶风县职业教育中心办学基础设施薄弱，教学、实训室场所不足，设施设备少，实践教学工位不足，信息化教学设施配备较差，计算机数量不足，新建教学综合楼缺少配套网络、广播、监控系统和安全防护网，无法保证下学期开学正常使用的问题，根据教育部等五部门关于印发《职业学校办学条件达标工程实施方案》的通知（教职成〔2022〕5号）、陕西省教育厅关于印发《陕西省中等职业学校办学条件达标工作方案》《陕西省中等职业学校教学工作基本要求》的通知（陕教〔2022〕103号），扶风县人民政府于2023年4月11日召开专项问题会议（第八次），决定对职教中心基础设施改造提升项目进行补助。</w:t>
      </w:r>
    </w:p>
    <w:p w14:paraId="5C463A66">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项目主管部门为扶风县教育体育局，由扶风县职业教育中心实施。项目预算资金</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00万元，项目到位资金</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00万元，项目资金支付151.96万元，项目结余资金</w:t>
      </w:r>
      <w:r>
        <w:rPr>
          <w:rFonts w:hint="eastAsia" w:ascii="仿宋" w:hAnsi="仿宋" w:eastAsia="仿宋" w:cs="仿宋"/>
          <w:kern w:val="0"/>
          <w:sz w:val="32"/>
          <w:szCs w:val="32"/>
          <w:lang w:val="en-US" w:eastAsia="zh-CN"/>
        </w:rPr>
        <w:t>48.04</w:t>
      </w:r>
      <w:r>
        <w:rPr>
          <w:rFonts w:hint="eastAsia" w:ascii="仿宋" w:hAnsi="仿宋" w:eastAsia="仿宋" w:cs="仿宋"/>
          <w:kern w:val="0"/>
          <w:sz w:val="32"/>
          <w:szCs w:val="32"/>
        </w:rPr>
        <w:t>万元。</w:t>
      </w:r>
    </w:p>
    <w:p w14:paraId="1856FC7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按照确定的评分细则，对各项指标逐一评价打分，职教中心-基础设施改造提升补助绩效评价得分为</w:t>
      </w:r>
      <w:r>
        <w:rPr>
          <w:rFonts w:hint="eastAsia" w:ascii="仿宋" w:hAnsi="仿宋" w:eastAsia="仿宋" w:cs="仿宋"/>
          <w:kern w:val="0"/>
          <w:sz w:val="32"/>
          <w:szCs w:val="32"/>
          <w:highlight w:val="none"/>
        </w:rPr>
        <w:t>9</w:t>
      </w: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rPr>
        <w:t>.0</w:t>
      </w:r>
      <w:r>
        <w:rPr>
          <w:rFonts w:hint="eastAsia" w:ascii="仿宋" w:hAnsi="仿宋" w:eastAsia="仿宋" w:cs="仿宋"/>
          <w:kern w:val="0"/>
          <w:sz w:val="32"/>
          <w:szCs w:val="32"/>
        </w:rPr>
        <w:t>分，评价结果等级为“优”。</w:t>
      </w:r>
    </w:p>
    <w:p w14:paraId="13B67A83">
      <w:pPr>
        <w:spacing w:line="60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存在的问题：①</w:t>
      </w:r>
      <w:r>
        <w:rPr>
          <w:rFonts w:hint="eastAsia" w:ascii="仿宋" w:hAnsi="仿宋" w:eastAsia="仿宋" w:cs="仿宋"/>
          <w:kern w:val="0"/>
          <w:sz w:val="32"/>
          <w:szCs w:val="32"/>
          <w:lang w:val="en-US" w:eastAsia="zh-CN"/>
        </w:rPr>
        <w:t>预算执行率偏低；②</w:t>
      </w:r>
      <w:r>
        <w:rPr>
          <w:rFonts w:hint="eastAsia" w:ascii="仿宋" w:hAnsi="仿宋" w:eastAsia="仿宋" w:cs="仿宋"/>
          <w:kern w:val="0"/>
          <w:sz w:val="32"/>
          <w:szCs w:val="32"/>
        </w:rPr>
        <w:t>管理制度不够健全</w:t>
      </w:r>
      <w:r>
        <w:rPr>
          <w:rFonts w:hint="eastAsia" w:ascii="仿宋" w:hAnsi="仿宋" w:eastAsia="仿宋" w:cs="仿宋"/>
          <w:kern w:val="0"/>
          <w:sz w:val="32"/>
          <w:szCs w:val="32"/>
          <w:lang w:eastAsia="zh-CN"/>
        </w:rPr>
        <w:t>。</w:t>
      </w:r>
    </w:p>
    <w:p w14:paraId="639F83EE">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040260E5">
      <w:pPr>
        <w:spacing w:line="600" w:lineRule="exact"/>
        <w:ind w:firstLine="723"/>
        <w:jc w:val="center"/>
        <w:outlineLvl w:val="9"/>
        <w:rPr>
          <w:rFonts w:ascii="方正小标宋_GBK" w:hAnsi="方正小标宋_GBK" w:eastAsia="方正小标宋_GBK" w:cs="方正小标宋_GBK"/>
          <w:b/>
          <w:bCs/>
          <w:kern w:val="2"/>
          <w:sz w:val="36"/>
          <w:szCs w:val="36"/>
        </w:rPr>
      </w:pPr>
      <w:bookmarkStart w:id="9" w:name="_Toc31469"/>
      <w:bookmarkStart w:id="10" w:name="_Toc8725"/>
      <w:bookmarkStart w:id="11" w:name="_Toc14200"/>
      <w:r>
        <w:rPr>
          <w:rFonts w:hint="eastAsia" w:ascii="方正小标宋_GBK" w:hAnsi="方正小标宋_GBK" w:eastAsia="方正小标宋_GBK" w:cs="方正小标宋_GBK"/>
          <w:b/>
          <w:bCs/>
          <w:kern w:val="2"/>
          <w:sz w:val="36"/>
          <w:szCs w:val="36"/>
        </w:rPr>
        <w:t>职教中心-基础设施改造提升补助</w:t>
      </w:r>
      <w:bookmarkEnd w:id="9"/>
      <w:bookmarkEnd w:id="10"/>
      <w:bookmarkEnd w:id="11"/>
    </w:p>
    <w:p w14:paraId="52D7E179">
      <w:pPr>
        <w:spacing w:line="600" w:lineRule="exact"/>
        <w:ind w:firstLine="723"/>
        <w:jc w:val="center"/>
        <w:outlineLvl w:val="9"/>
        <w:rPr>
          <w:b/>
          <w:bCs/>
        </w:rPr>
      </w:pPr>
      <w:bookmarkStart w:id="12" w:name="_Toc15168"/>
      <w:bookmarkStart w:id="13" w:name="_Toc2346"/>
      <w:bookmarkStart w:id="14" w:name="_Toc311"/>
      <w:bookmarkStart w:id="15" w:name="_Toc3198"/>
      <w:bookmarkStart w:id="16" w:name="_Toc3207"/>
      <w:r>
        <w:rPr>
          <w:rFonts w:hint="eastAsia" w:ascii="方正小标宋_GBK" w:hAnsi="方正小标宋_GBK" w:eastAsia="方正小标宋_GBK" w:cs="方正小标宋_GBK"/>
          <w:b/>
          <w:bCs/>
          <w:kern w:val="2"/>
          <w:sz w:val="36"/>
          <w:szCs w:val="36"/>
        </w:rPr>
        <w:t>绩效评价报告</w:t>
      </w:r>
      <w:bookmarkEnd w:id="12"/>
      <w:bookmarkEnd w:id="13"/>
      <w:bookmarkEnd w:id="14"/>
      <w:bookmarkEnd w:id="15"/>
      <w:bookmarkEnd w:id="16"/>
    </w:p>
    <w:p w14:paraId="605A55DC">
      <w:pPr>
        <w:spacing w:line="600" w:lineRule="exact"/>
        <w:ind w:firstLine="640" w:firstLineChars="200"/>
        <w:rPr>
          <w:rFonts w:ascii="仿宋" w:hAnsi="仿宋" w:eastAsia="仿宋" w:cs="仿宋"/>
          <w:kern w:val="0"/>
          <w:sz w:val="32"/>
          <w:szCs w:val="32"/>
        </w:rPr>
      </w:pPr>
      <w:bookmarkStart w:id="17" w:name="_Toc12937"/>
      <w:bookmarkStart w:id="18" w:name="_Toc23524"/>
      <w:bookmarkStart w:id="19" w:name="_Toc9863"/>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13</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，对职教中心-基础设施改造提升补助进行绩效评价。现将评价情况报告如下：</w:t>
      </w:r>
    </w:p>
    <w:p w14:paraId="5954E327">
      <w:pPr>
        <w:pStyle w:val="2"/>
        <w:bidi w:val="0"/>
      </w:pPr>
      <w:bookmarkStart w:id="20" w:name="_Toc13353"/>
      <w:bookmarkStart w:id="21" w:name="_Toc1454"/>
      <w:r>
        <w:rPr>
          <w:rFonts w:hint="eastAsia"/>
        </w:rPr>
        <w:t>一、</w:t>
      </w:r>
      <w:bookmarkEnd w:id="17"/>
      <w:r>
        <w:rPr>
          <w:rFonts w:hint="eastAsia"/>
        </w:rPr>
        <w:t>基本情况</w:t>
      </w:r>
      <w:bookmarkEnd w:id="18"/>
      <w:bookmarkEnd w:id="19"/>
      <w:bookmarkEnd w:id="20"/>
      <w:bookmarkEnd w:id="21"/>
    </w:p>
    <w:p w14:paraId="1277496D">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rPr>
      </w:pPr>
      <w:bookmarkStart w:id="22" w:name="_Toc3001"/>
      <w:bookmarkStart w:id="23" w:name="_Toc6579"/>
      <w:bookmarkStart w:id="24" w:name="_Toc24850"/>
      <w:bookmarkStart w:id="25" w:name="_Toc22255"/>
      <w:bookmarkStart w:id="26" w:name="_Toc25092"/>
      <w:r>
        <w:rPr>
          <w:rFonts w:hint="eastAsia"/>
        </w:rPr>
        <w:t>（一）</w:t>
      </w:r>
      <w:bookmarkEnd w:id="22"/>
      <w:r>
        <w:rPr>
          <w:rFonts w:hint="eastAsia"/>
        </w:rPr>
        <w:t>项目概况</w:t>
      </w:r>
      <w:bookmarkEnd w:id="23"/>
      <w:bookmarkEnd w:id="24"/>
      <w:bookmarkEnd w:id="25"/>
      <w:bookmarkEnd w:id="26"/>
    </w:p>
    <w:p w14:paraId="15512368">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02700F40">
      <w:pPr>
        <w:spacing w:line="600" w:lineRule="exact"/>
        <w:ind w:firstLine="640" w:firstLineChars="200"/>
      </w:pPr>
      <w:r>
        <w:rPr>
          <w:rFonts w:ascii="仿宋" w:hAnsi="仿宋" w:eastAsia="仿宋" w:cs="仿宋"/>
          <w:kern w:val="0"/>
          <w:sz w:val="32"/>
          <w:szCs w:val="32"/>
        </w:rPr>
        <w:t>为了解决扶风县职业教育中心办学基础设施薄弱，教学、实训室场所不足，设施设备少，实践教学工位不足，信息化教学设施配备较差，计算机数量不足，新建教学综合楼缺少配套网络、广播、监控系统和安全防护网，无法保证下学期开学正常使用的问题，根据教育部等五部门关于印发《职业学校办学条件达标工程实施方案》的通知（教职成〔2022〕5号）、陕西省教育厅关于印发《陕西省中等职业学校办学条件达标工作方案》《陕西省中等职业学校教学工作基本要求》的通知（陕教〔2022〕103号），扶风县人民政府于2023年4月11日召开专项问题会议（第八次），决定对职教中心基础设施改造提升项目进行补助。</w:t>
      </w:r>
    </w:p>
    <w:p w14:paraId="605FF916">
      <w:pPr>
        <w:spacing w:line="600" w:lineRule="exact"/>
        <w:ind w:firstLine="643"/>
        <w:outlineLvl w:val="9"/>
        <w:rPr>
          <w:rFonts w:hint="eastAsia" w:ascii="仿宋" w:hAnsi="仿宋" w:cs="仿宋"/>
          <w:b/>
          <w:bCs/>
          <w:sz w:val="32"/>
          <w:szCs w:val="32"/>
        </w:rPr>
      </w:pPr>
      <w:bookmarkStart w:id="27" w:name="_Toc19838"/>
      <w:bookmarkStart w:id="28" w:name="_Toc30940"/>
      <w:bookmarkStart w:id="29" w:name="_Toc2902"/>
      <w:bookmarkStart w:id="30" w:name="_Toc24420"/>
      <w:bookmarkStart w:id="31" w:name="_Toc5307_WPSOffice_Level2"/>
      <w:bookmarkStart w:id="32" w:name="_Toc6691"/>
      <w:r>
        <w:rPr>
          <w:rFonts w:hint="eastAsia" w:ascii="仿宋" w:hAnsi="仿宋" w:cs="仿宋"/>
          <w:b/>
          <w:bCs/>
          <w:sz w:val="32"/>
          <w:szCs w:val="32"/>
        </w:rPr>
        <w:t>2.项目主要内容</w:t>
      </w:r>
    </w:p>
    <w:p w14:paraId="0658797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项目资金用于课桌椅采购、实训楼弱电系统采购、智慧黑板采购。</w:t>
      </w:r>
    </w:p>
    <w:p w14:paraId="0DA7136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5ACA5D4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（1）多媒体讲台和学生课桌椅采购项目</w:t>
      </w:r>
    </w:p>
    <w:p w14:paraId="3BB9F7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扶风县职教中心于2023年9月8日，委托陕西铭润工程项目管理有限公司通过公开招标的方式，确认多媒体讲台和学生课桌椅采购项目的供应商为陕西华泰教学设备有限公司，2024年3月18日款项已支付完成。</w:t>
      </w:r>
    </w:p>
    <w:p w14:paraId="40DEDEA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（2）智慧黑板采购项目</w:t>
      </w:r>
    </w:p>
    <w:p w14:paraId="132A19D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职教中心于2024年1月17日，委托陕西建政项目管理有限公司通过公开招标的方式，确认扶风县职业教育中心智慧黑板采购项目的供应商为中国移动通信集团陕西有限公司宝鸡分公司，扶风县教育体育局通过竞争性磋商确定扶风县职业教育中心智慧黑板采购项目的供应商，于2024年3月27日签订《扶风县职业教育中心智慧校园集成服务项目合同》，于2024年4月18日竣工验收，验收合格。</w:t>
      </w:r>
    </w:p>
    <w:p w14:paraId="6867A35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（3）实训楼弱电系统采购项目</w:t>
      </w:r>
    </w:p>
    <w:p w14:paraId="1AA1D86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职教中心于2023年8月4日，委托宝鸡天正项目管理咨询有限公司通过公开招标的方式，确定扶风县职业教育中心实训楼弱电系统采购项目的供应商为中国电信股份有限公司宝鸡分公司，于2023年8月16日签订《扶风县职教中心实训楼弱电监控项目合同》于2023年11月15日签订《扶风县职教中心实训楼网络改造项目技术服务补充合同》，2023年12月25日款项已支付。</w:t>
      </w:r>
    </w:p>
    <w:p w14:paraId="1D5EC26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5800B135">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扶风县财政局于2023年3月27日以《关于下达财政预算支出指标的通知》（扶财办预〔2023〕024号）向扶风县教育体育局下达教学设施、设备改造提升补助200万元。</w:t>
      </w:r>
    </w:p>
    <w:p w14:paraId="7841FD08">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07694929">
      <w:pPr>
        <w:spacing w:line="600" w:lineRule="exact"/>
        <w:ind w:firstLine="640" w:firstLineChars="200"/>
      </w:pPr>
      <w:r>
        <w:rPr>
          <w:rFonts w:hint="eastAsia" w:ascii="仿宋" w:hAnsi="仿宋" w:eastAsia="仿宋" w:cs="仿宋"/>
          <w:kern w:val="0"/>
          <w:sz w:val="32"/>
          <w:szCs w:val="32"/>
        </w:rPr>
        <w:t>项目预算资金为200万元，截至2024年4月17日，已支付151.96万元。</w:t>
      </w:r>
    </w:p>
    <w:p w14:paraId="4B7328A0">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rPr>
      </w:pPr>
      <w:bookmarkStart w:id="33" w:name="_Toc7653"/>
      <w:bookmarkStart w:id="34" w:name="_Toc9037"/>
      <w:r>
        <w:rPr>
          <w:rFonts w:hint="eastAsia"/>
        </w:rPr>
        <w:t>（二）项目绩效目标</w:t>
      </w:r>
      <w:bookmarkEnd w:id="27"/>
      <w:bookmarkEnd w:id="28"/>
      <w:bookmarkEnd w:id="29"/>
      <w:bookmarkEnd w:id="33"/>
      <w:bookmarkEnd w:id="34"/>
    </w:p>
    <w:p w14:paraId="1D9F397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1.项目总体目标</w:t>
      </w:r>
    </w:p>
    <w:p w14:paraId="32790C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有效缓解扶风县职教中心硬件设施的不足和招生压力，改善学校办学条件，为提升学校办学质量，创建省级中等职业示范校，践行以人为本，办教为民的教育理念提供基础保障。</w:t>
      </w:r>
    </w:p>
    <w:p w14:paraId="791A0DE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2.项目绩效目标分解</w:t>
      </w:r>
    </w:p>
    <w:p w14:paraId="1AB3716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（1）产出指标</w:t>
      </w:r>
    </w:p>
    <w:p w14:paraId="1641FF7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①数量指标。更换33块智慧黑板、更换996套课桌椅、安装1套网络广播监控系统、安装安全防护网面积1658平方米。</w:t>
      </w:r>
    </w:p>
    <w:p w14:paraId="73F782E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②质量指标。更换新购设备合格率100%。</w:t>
      </w:r>
    </w:p>
    <w:p w14:paraId="0D66C79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③时效指标。开始时间2023年4月1日至结束时间2023年12月31日。</w:t>
      </w:r>
    </w:p>
    <w:p w14:paraId="4A844DB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④成本指标。计划投资金额200万元。</w:t>
      </w:r>
    </w:p>
    <w:p w14:paraId="0DB7791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（2）效益指标</w:t>
      </w:r>
    </w:p>
    <w:p w14:paraId="7130427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①社会效益。改善学习环境，提升学校形象，促进教育公平。</w:t>
      </w:r>
    </w:p>
    <w:p w14:paraId="2629D55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②满意度。师生满意度≥90%。</w:t>
      </w:r>
      <w:bookmarkEnd w:id="30"/>
      <w:bookmarkEnd w:id="31"/>
      <w:bookmarkEnd w:id="32"/>
      <w:bookmarkStart w:id="35" w:name="_Toc22895"/>
      <w:bookmarkStart w:id="36" w:name="_Toc25596"/>
      <w:bookmarkStart w:id="37" w:name="_Toc28175_WPSOffice_Level1"/>
      <w:bookmarkStart w:id="38" w:name="_Toc16072"/>
      <w:bookmarkStart w:id="39" w:name="_Toc21915"/>
      <w:bookmarkStart w:id="40" w:name="_Hlk2370114"/>
      <w:bookmarkStart w:id="41" w:name="_Toc8245_WPSOffice_Level1"/>
      <w:bookmarkStart w:id="42" w:name="_Toc3241_WPSOffice_Level1"/>
      <w:bookmarkStart w:id="43" w:name="_Toc29537"/>
      <w:bookmarkStart w:id="44" w:name="_Toc29155_WPSOffice_Level1"/>
      <w:bookmarkStart w:id="45" w:name="_Toc18785"/>
      <w:bookmarkStart w:id="46" w:name="_Toc28206"/>
      <w:bookmarkStart w:id="47" w:name="_Toc6828_WPSOffice_Level1"/>
      <w:bookmarkStart w:id="48" w:name="_Toc11420_WPSOffice_Level1"/>
      <w:bookmarkStart w:id="49" w:name="_Toc751_WPSOffice_Level1"/>
      <w:bookmarkStart w:id="50" w:name="_Toc29074"/>
      <w:bookmarkStart w:id="51" w:name="_Toc6281_WPSOffice_Level1"/>
    </w:p>
    <w:p w14:paraId="4A3E77DC">
      <w:pPr>
        <w:pStyle w:val="2"/>
        <w:bidi w:val="0"/>
      </w:pPr>
      <w:bookmarkStart w:id="52" w:name="_Toc14535"/>
      <w:bookmarkStart w:id="53" w:name="_Toc8980"/>
      <w:r>
        <w:rPr>
          <w:rFonts w:hint="eastAsia"/>
        </w:rPr>
        <w:t>二、绩效评价工作开展情况</w:t>
      </w:r>
      <w:bookmarkEnd w:id="35"/>
      <w:bookmarkEnd w:id="36"/>
      <w:bookmarkEnd w:id="52"/>
      <w:bookmarkEnd w:id="53"/>
      <w:bookmarkStart w:id="54" w:name="_Toc1319"/>
      <w:bookmarkStart w:id="55" w:name="_Toc30013"/>
      <w:bookmarkStart w:id="56" w:name="_Toc4270"/>
      <w:bookmarkStart w:id="57" w:name="_Toc1360"/>
    </w:p>
    <w:p w14:paraId="51384697">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rPr>
      </w:pPr>
      <w:bookmarkStart w:id="58" w:name="_Toc6092"/>
      <w:bookmarkStart w:id="59" w:name="_Toc3496"/>
      <w:r>
        <w:rPr>
          <w:rFonts w:hint="eastAsia"/>
        </w:rPr>
        <w:t>（一）绩效评价目的</w:t>
      </w:r>
      <w:bookmarkEnd w:id="54"/>
      <w:bookmarkEnd w:id="55"/>
      <w:bookmarkEnd w:id="56"/>
      <w:r>
        <w:rPr>
          <w:rFonts w:hint="eastAsia"/>
        </w:rPr>
        <w:t>与重点</w:t>
      </w:r>
      <w:bookmarkEnd w:id="57"/>
      <w:bookmarkEnd w:id="58"/>
      <w:bookmarkEnd w:id="59"/>
    </w:p>
    <w:p w14:paraId="3DA0AAC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职教中心-基础设施改造提升补助。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757A5B3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3E8A5F34">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rPr>
      </w:pPr>
      <w:bookmarkStart w:id="60" w:name="_Toc17204"/>
      <w:bookmarkStart w:id="61" w:name="_Toc14910"/>
      <w:bookmarkStart w:id="62" w:name="_Toc18097"/>
      <w:bookmarkStart w:id="63" w:name="_Toc23057"/>
      <w:bookmarkStart w:id="64" w:name="_Toc2196"/>
      <w:bookmarkStart w:id="65" w:name="_Toc4409"/>
      <w:r>
        <w:rPr>
          <w:rFonts w:hint="eastAsia"/>
        </w:rPr>
        <w:t>（二）绩效评价</w:t>
      </w:r>
      <w:bookmarkEnd w:id="60"/>
      <w:bookmarkEnd w:id="61"/>
      <w:bookmarkEnd w:id="62"/>
      <w:r>
        <w:rPr>
          <w:rFonts w:hint="eastAsia"/>
        </w:rPr>
        <w:t>指标与方法</w:t>
      </w:r>
      <w:bookmarkEnd w:id="63"/>
      <w:bookmarkEnd w:id="64"/>
      <w:bookmarkEnd w:id="65"/>
    </w:p>
    <w:p w14:paraId="31FA391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6D38CD3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20CBC5B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3EC5920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57C0D3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619EFAD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61E454E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37E14EE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4345FBD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（8）反馈原则。将评价的结果反馈给</w:t>
      </w:r>
      <w:r>
        <w:rPr>
          <w:rFonts w:hint="eastAsia" w:ascii="仿宋" w:hAnsi="仿宋" w:eastAsia="仿宋" w:cs="仿宋"/>
          <w:kern w:val="0"/>
          <w:sz w:val="32"/>
          <w:szCs w:val="32"/>
          <w:lang w:val="en-US" w:eastAsia="zh-CN"/>
        </w:rPr>
        <w:t>有关</w:t>
      </w:r>
      <w:r>
        <w:rPr>
          <w:rFonts w:hint="eastAsia" w:ascii="仿宋" w:hAnsi="仿宋" w:eastAsia="仿宋" w:cs="仿宋"/>
          <w:kern w:val="0"/>
          <w:sz w:val="32"/>
          <w:szCs w:val="32"/>
        </w:rPr>
        <w:t xml:space="preserve">部门，作为有关部门以后年度安排项目预算、加强项目管理等工作的重要依据。 </w:t>
      </w:r>
    </w:p>
    <w:p w14:paraId="51B66D4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2E07ECD8">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598B45C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结合项目实际情况，本次评价共设置决策指标、过程指标、产出指标、效益指标4个一级指标，对一级指标细分为11个二级指标，对二级指标细分为18个三级指标。</w:t>
      </w:r>
    </w:p>
    <w:p w14:paraId="297C247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4006CFB8">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1AC0C397">
      <w:pPr>
        <w:spacing w:line="600" w:lineRule="exact"/>
        <w:ind w:firstLine="640" w:firstLineChars="200"/>
        <w:rPr>
          <w:rFonts w:ascii="仿宋" w:hAnsi="仿宋" w:eastAsia="仿宋" w:cs="仿宋"/>
          <w:kern w:val="0"/>
          <w:sz w:val="32"/>
          <w:szCs w:val="32"/>
        </w:rPr>
      </w:pPr>
      <w:bookmarkStart w:id="66" w:name="_Toc29066"/>
      <w:bookmarkStart w:id="67" w:name="_Toc1910"/>
      <w:bookmarkStart w:id="68"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职教中心-基础设施改造提升补助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71E68B71">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742BDA2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7F9694B2">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18D6A68D">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6697471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5299BE56">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0641CFCA">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47A867DA">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66"/>
      <w:bookmarkEnd w:id="67"/>
      <w:r>
        <w:rPr>
          <w:rFonts w:hint="eastAsia" w:ascii="仿宋" w:hAnsi="仿宋" w:cs="仿宋"/>
          <w:b/>
          <w:bCs/>
          <w:sz w:val="32"/>
          <w:szCs w:val="32"/>
        </w:rPr>
        <w:t>评价结果等级划分</w:t>
      </w:r>
    </w:p>
    <w:p w14:paraId="45908A3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w:t>
      </w:r>
      <w:r>
        <w:rPr>
          <w:rFonts w:hint="eastAsia" w:ascii="仿宋" w:hAnsi="仿宋" w:eastAsia="仿宋" w:cs="仿宋"/>
          <w:kern w:val="0"/>
          <w:sz w:val="32"/>
          <w:szCs w:val="32"/>
          <w:lang w:val="en-US" w:eastAsia="zh-CN"/>
        </w:rPr>
        <w:t>等</w:t>
      </w:r>
      <w:r>
        <w:rPr>
          <w:rFonts w:hint="eastAsia" w:ascii="仿宋" w:hAnsi="仿宋" w:eastAsia="仿宋" w:cs="仿宋"/>
          <w:kern w:val="0"/>
          <w:sz w:val="32"/>
          <w:szCs w:val="32"/>
        </w:rPr>
        <w:t>，本次绩效评价结果采取评分和评级相结合的方式，评价结论分为四级：评价得分大于或等于90分为优，80分（含）-90分为良，60分（含）-80分为中，小于60分为差。</w:t>
      </w:r>
    </w:p>
    <w:bookmarkEnd w:id="37"/>
    <w:bookmarkEnd w:id="38"/>
    <w:bookmarkEnd w:id="39"/>
    <w:bookmarkEnd w:id="40"/>
    <w:bookmarkEnd w:id="41"/>
    <w:bookmarkEnd w:id="42"/>
    <w:bookmarkEnd w:id="43"/>
    <w:bookmarkEnd w:id="44"/>
    <w:bookmarkEnd w:id="68"/>
    <w:p w14:paraId="22CD418F">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rPr>
      </w:pPr>
      <w:bookmarkStart w:id="69" w:name="_Toc17254"/>
      <w:bookmarkStart w:id="70" w:name="_Toc31796"/>
      <w:bookmarkStart w:id="71" w:name="_Toc26507"/>
      <w:bookmarkStart w:id="72" w:name="_Toc23298"/>
      <w:bookmarkStart w:id="73" w:name="_Toc15419"/>
      <w:bookmarkStart w:id="74" w:name="_Toc19747"/>
      <w:r>
        <w:rPr>
          <w:rFonts w:hint="eastAsia"/>
        </w:rPr>
        <w:t>（三）绩效评价工作过程</w:t>
      </w:r>
      <w:bookmarkEnd w:id="69"/>
      <w:bookmarkEnd w:id="70"/>
      <w:bookmarkEnd w:id="71"/>
      <w:bookmarkEnd w:id="72"/>
    </w:p>
    <w:p w14:paraId="704AF71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5DE5E71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（1）成立评价工作小组。由扶风县财政局</w:t>
      </w:r>
      <w:r>
        <w:rPr>
          <w:rFonts w:hint="eastAsia" w:ascii="仿宋" w:hAnsi="仿宋" w:eastAsia="仿宋" w:cs="仿宋"/>
          <w:kern w:val="0"/>
          <w:sz w:val="32"/>
          <w:szCs w:val="32"/>
          <w:lang w:val="en-US" w:eastAsia="zh-CN"/>
        </w:rPr>
        <w:t>相关业务股室</w:t>
      </w:r>
      <w:r>
        <w:rPr>
          <w:rFonts w:hint="eastAsia" w:ascii="仿宋" w:hAnsi="仿宋" w:eastAsia="仿宋" w:cs="仿宋"/>
          <w:kern w:val="0"/>
          <w:sz w:val="32"/>
          <w:szCs w:val="32"/>
        </w:rPr>
        <w:t>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135EB26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53CF392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3CE6239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35D7654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1A63783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2F2BDEE1">
      <w:pPr>
        <w:spacing w:line="600" w:lineRule="exact"/>
        <w:ind w:firstLine="643"/>
        <w:outlineLvl w:val="9"/>
        <w:rPr>
          <w:rFonts w:hint="eastAsia" w:ascii="仿宋" w:hAnsi="仿宋" w:cs="仿宋"/>
          <w:b/>
          <w:bCs/>
          <w:sz w:val="32"/>
          <w:szCs w:val="32"/>
        </w:rPr>
      </w:pPr>
      <w:bookmarkStart w:id="75" w:name="_Toc3315"/>
      <w:r>
        <w:rPr>
          <w:rFonts w:hint="eastAsia" w:ascii="仿宋" w:hAnsi="仿宋" w:cs="仿宋"/>
          <w:b/>
          <w:bCs/>
          <w:sz w:val="32"/>
          <w:szCs w:val="32"/>
        </w:rPr>
        <w:t>3.分析评价阶段</w:t>
      </w:r>
      <w:bookmarkEnd w:id="75"/>
    </w:p>
    <w:p w14:paraId="2FFFAEE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448236A6">
      <w:pPr>
        <w:spacing w:line="600" w:lineRule="exact"/>
        <w:ind w:firstLine="643"/>
        <w:outlineLvl w:val="9"/>
        <w:rPr>
          <w:rFonts w:hint="eastAsia" w:ascii="仿宋" w:hAnsi="仿宋" w:cs="仿宋"/>
          <w:b/>
          <w:bCs/>
          <w:sz w:val="32"/>
          <w:szCs w:val="32"/>
        </w:rPr>
      </w:pPr>
      <w:bookmarkStart w:id="76" w:name="_Toc4212"/>
      <w:r>
        <w:rPr>
          <w:rFonts w:hint="eastAsia" w:ascii="仿宋" w:hAnsi="仿宋" w:cs="仿宋"/>
          <w:b/>
          <w:bCs/>
          <w:sz w:val="32"/>
          <w:szCs w:val="32"/>
        </w:rPr>
        <w:t>4.撰写报告阶段</w:t>
      </w:r>
      <w:bookmarkEnd w:id="76"/>
    </w:p>
    <w:p w14:paraId="41E58FF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5A58833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642F833D">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w:t>
      </w:r>
      <w:r>
        <w:rPr>
          <w:rFonts w:hint="eastAsia" w:ascii="仿宋" w:hAnsi="仿宋" w:eastAsia="仿宋" w:cs="仿宋"/>
          <w:kern w:val="0"/>
          <w:sz w:val="32"/>
          <w:szCs w:val="32"/>
          <w:highlight w:val="none"/>
          <w:lang w:val="en-US" w:eastAsia="zh-CN"/>
        </w:rPr>
        <w:t>的</w:t>
      </w:r>
      <w:r>
        <w:rPr>
          <w:rFonts w:hint="eastAsia" w:ascii="仿宋" w:hAnsi="仿宋" w:eastAsia="仿宋" w:cs="仿宋"/>
          <w:kern w:val="0"/>
          <w:sz w:val="32"/>
          <w:szCs w:val="32"/>
          <w:highlight w:val="none"/>
        </w:rPr>
        <w:t>意见。</w:t>
      </w:r>
    </w:p>
    <w:p w14:paraId="49E47C3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2D3968F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53812C4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64FEC537">
      <w:pPr>
        <w:pStyle w:val="2"/>
        <w:bidi w:val="0"/>
      </w:pPr>
      <w:bookmarkStart w:id="77" w:name="_Toc1575"/>
      <w:bookmarkStart w:id="78" w:name="_Toc180"/>
      <w:r>
        <w:rPr>
          <w:rFonts w:hint="eastAsia"/>
        </w:rPr>
        <w:t>三、综合评价情况及评价结论</w:t>
      </w:r>
      <w:bookmarkEnd w:id="73"/>
      <w:bookmarkEnd w:id="77"/>
      <w:bookmarkEnd w:id="78"/>
    </w:p>
    <w:p w14:paraId="4496E4FC">
      <w:pPr>
        <w:adjustRightInd w:val="0"/>
        <w:snapToGrid w:val="0"/>
        <w:spacing w:line="600" w:lineRule="exact"/>
        <w:ind w:firstLine="640" w:firstLineChars="200"/>
        <w:rPr>
          <w:rFonts w:ascii="仿宋" w:hAnsi="仿宋" w:eastAsia="仿宋" w:cs="仿宋"/>
          <w:kern w:val="0"/>
          <w:sz w:val="32"/>
          <w:szCs w:val="32"/>
        </w:rPr>
      </w:pPr>
      <w:bookmarkStart w:id="79" w:name="_Toc21717"/>
      <w:r>
        <w:rPr>
          <w:rFonts w:hint="eastAsia" w:ascii="仿宋" w:hAnsi="仿宋" w:eastAsia="仿宋" w:cs="仿宋"/>
          <w:kern w:val="0"/>
          <w:sz w:val="32"/>
          <w:szCs w:val="32"/>
        </w:rPr>
        <w:t>按照确定的评分细则，通过对各项指标逐一评价打分，职教中心-基础设施改造提升补助绩效评价得分为</w:t>
      </w:r>
      <w:r>
        <w:rPr>
          <w:rFonts w:hint="eastAsia" w:ascii="仿宋" w:hAnsi="仿宋" w:eastAsia="仿宋" w:cs="仿宋"/>
          <w:kern w:val="0"/>
          <w:sz w:val="32"/>
          <w:szCs w:val="32"/>
          <w:highlight w:val="none"/>
        </w:rPr>
        <w:t>9</w:t>
      </w: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rPr>
        <w:t>.0分</w:t>
      </w:r>
      <w:r>
        <w:rPr>
          <w:rFonts w:hint="eastAsia" w:ascii="仿宋" w:hAnsi="仿宋" w:eastAsia="仿宋" w:cs="仿宋"/>
          <w:kern w:val="0"/>
          <w:sz w:val="32"/>
          <w:szCs w:val="32"/>
        </w:rPr>
        <w:t>，评价结果等级为“优”，评分情况详见下表。</w:t>
      </w:r>
    </w:p>
    <w:p w14:paraId="7F697D79">
      <w:pPr>
        <w:pStyle w:val="31"/>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2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672C264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7FCC7827">
            <w:pPr>
              <w:pStyle w:val="31"/>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5CF1EAE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577B1B0E">
            <w:pPr>
              <w:pStyle w:val="31"/>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5DBE0FF6">
            <w:pPr>
              <w:pStyle w:val="31"/>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1CE8D7B1">
            <w:pPr>
              <w:pStyle w:val="31"/>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424B857A">
            <w:pPr>
              <w:pStyle w:val="31"/>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7C0972D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80921A7">
            <w:pPr>
              <w:jc w:val="center"/>
            </w:pPr>
            <w:r>
              <w:rPr>
                <w:rFonts w:ascii="仿宋" w:hAnsi="仿宋" w:eastAsia="仿宋" w:cs="仿宋"/>
                <w:b w:val="0"/>
                <w:sz w:val="32"/>
              </w:rPr>
              <w:t>决策指标</w:t>
            </w:r>
          </w:p>
        </w:tc>
        <w:tc>
          <w:p w14:paraId="748D31CB">
            <w:pPr>
              <w:jc w:val="center"/>
            </w:pPr>
            <w:r>
              <w:rPr>
                <w:rFonts w:ascii="仿宋" w:hAnsi="仿宋" w:eastAsia="仿宋" w:cs="仿宋"/>
                <w:b w:val="0"/>
                <w:sz w:val="32"/>
              </w:rPr>
              <w:t>18.0</w:t>
            </w:r>
          </w:p>
        </w:tc>
        <w:tc>
          <w:p w14:paraId="431CC8B5">
            <w:pPr>
              <w:jc w:val="center"/>
            </w:pPr>
            <w:r>
              <w:rPr>
                <w:rFonts w:ascii="仿宋" w:hAnsi="仿宋" w:eastAsia="仿宋" w:cs="仿宋"/>
                <w:b w:val="0"/>
                <w:sz w:val="32"/>
              </w:rPr>
              <w:t>18.0</w:t>
            </w:r>
          </w:p>
        </w:tc>
        <w:tc>
          <w:p w14:paraId="6BDBA704">
            <w:pPr>
              <w:jc w:val="center"/>
            </w:pPr>
            <w:r>
              <w:rPr>
                <w:rFonts w:ascii="仿宋" w:hAnsi="仿宋" w:eastAsia="仿宋" w:cs="仿宋"/>
                <w:b w:val="0"/>
                <w:sz w:val="32"/>
              </w:rPr>
              <w:t>100.00%</w:t>
            </w:r>
          </w:p>
        </w:tc>
      </w:tr>
      <w:tr w14:paraId="4AE9411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45002978">
            <w:pPr>
              <w:jc w:val="center"/>
            </w:pPr>
            <w:r>
              <w:rPr>
                <w:rFonts w:ascii="仿宋" w:hAnsi="仿宋" w:eastAsia="仿宋" w:cs="仿宋"/>
                <w:b w:val="0"/>
                <w:sz w:val="32"/>
              </w:rPr>
              <w:t>过程指标</w:t>
            </w:r>
          </w:p>
        </w:tc>
        <w:tc>
          <w:p w14:paraId="15718F9A">
            <w:pPr>
              <w:jc w:val="center"/>
            </w:pPr>
            <w:r>
              <w:rPr>
                <w:rFonts w:ascii="仿宋" w:hAnsi="仿宋" w:eastAsia="仿宋" w:cs="仿宋"/>
                <w:b w:val="0"/>
                <w:sz w:val="32"/>
              </w:rPr>
              <w:t>22.0</w:t>
            </w:r>
          </w:p>
        </w:tc>
        <w:tc>
          <w:p w14:paraId="33135178">
            <w:pPr>
              <w:jc w:val="center"/>
            </w:pPr>
            <w:r>
              <w:rPr>
                <w:rFonts w:hint="eastAsia" w:ascii="仿宋" w:hAnsi="仿宋" w:eastAsia="仿宋" w:cs="仿宋"/>
                <w:b w:val="0"/>
                <w:sz w:val="32"/>
                <w:lang w:val="en-US" w:eastAsia="zh-CN"/>
              </w:rPr>
              <w:t>18</w:t>
            </w:r>
            <w:r>
              <w:rPr>
                <w:rFonts w:ascii="仿宋" w:hAnsi="仿宋" w:eastAsia="仿宋" w:cs="仿宋"/>
                <w:b w:val="0"/>
                <w:sz w:val="32"/>
              </w:rPr>
              <w:t>.0</w:t>
            </w:r>
          </w:p>
        </w:tc>
        <w:tc>
          <w:p w14:paraId="21227A94">
            <w:pPr>
              <w:jc w:val="center"/>
            </w:pPr>
            <w:r>
              <w:rPr>
                <w:rFonts w:hint="eastAsia" w:ascii="仿宋" w:hAnsi="仿宋" w:eastAsia="仿宋" w:cs="仿宋"/>
                <w:b w:val="0"/>
                <w:sz w:val="32"/>
                <w:lang w:val="en-US" w:eastAsia="zh-CN"/>
              </w:rPr>
              <w:t>81</w:t>
            </w:r>
            <w:r>
              <w:rPr>
                <w:rFonts w:ascii="仿宋" w:hAnsi="仿宋" w:eastAsia="仿宋" w:cs="仿宋"/>
                <w:b w:val="0"/>
                <w:sz w:val="32"/>
              </w:rPr>
              <w:t>.</w:t>
            </w:r>
            <w:r>
              <w:rPr>
                <w:rFonts w:hint="eastAsia" w:ascii="仿宋" w:hAnsi="仿宋" w:eastAsia="仿宋" w:cs="仿宋"/>
                <w:b w:val="0"/>
                <w:sz w:val="32"/>
                <w:lang w:val="en-US" w:eastAsia="zh-CN"/>
              </w:rPr>
              <w:t>82</w:t>
            </w:r>
            <w:r>
              <w:rPr>
                <w:rFonts w:ascii="仿宋" w:hAnsi="仿宋" w:eastAsia="仿宋" w:cs="仿宋"/>
                <w:b w:val="0"/>
                <w:sz w:val="32"/>
              </w:rPr>
              <w:t>%</w:t>
            </w:r>
          </w:p>
        </w:tc>
      </w:tr>
      <w:tr w14:paraId="7FEA309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792F3DD4">
            <w:pPr>
              <w:jc w:val="center"/>
            </w:pPr>
            <w:r>
              <w:rPr>
                <w:rFonts w:ascii="仿宋" w:hAnsi="仿宋" w:eastAsia="仿宋" w:cs="仿宋"/>
                <w:b w:val="0"/>
                <w:sz w:val="32"/>
              </w:rPr>
              <w:t>产出指标</w:t>
            </w:r>
          </w:p>
        </w:tc>
        <w:tc>
          <w:p w14:paraId="6729E983">
            <w:pPr>
              <w:jc w:val="center"/>
            </w:pPr>
            <w:r>
              <w:rPr>
                <w:rFonts w:ascii="仿宋" w:hAnsi="仿宋" w:eastAsia="仿宋" w:cs="仿宋"/>
                <w:b w:val="0"/>
                <w:sz w:val="32"/>
              </w:rPr>
              <w:t>36.0</w:t>
            </w:r>
          </w:p>
        </w:tc>
        <w:tc>
          <w:p w14:paraId="19845DDC">
            <w:pPr>
              <w:jc w:val="center"/>
            </w:pPr>
            <w:r>
              <w:rPr>
                <w:rFonts w:ascii="仿宋" w:hAnsi="仿宋" w:eastAsia="仿宋" w:cs="仿宋"/>
                <w:b w:val="0"/>
                <w:sz w:val="32"/>
              </w:rPr>
              <w:t>36.0</w:t>
            </w:r>
          </w:p>
        </w:tc>
        <w:tc>
          <w:p w14:paraId="6254E0F0">
            <w:pPr>
              <w:jc w:val="center"/>
            </w:pPr>
            <w:r>
              <w:rPr>
                <w:rFonts w:ascii="仿宋" w:hAnsi="仿宋" w:eastAsia="仿宋" w:cs="仿宋"/>
                <w:b w:val="0"/>
                <w:sz w:val="32"/>
              </w:rPr>
              <w:t>100.00%</w:t>
            </w:r>
          </w:p>
        </w:tc>
      </w:tr>
      <w:tr w14:paraId="430A01D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0A7EF519">
            <w:pPr>
              <w:jc w:val="center"/>
            </w:pPr>
            <w:r>
              <w:rPr>
                <w:rFonts w:ascii="仿宋" w:hAnsi="仿宋" w:eastAsia="仿宋" w:cs="仿宋"/>
                <w:b w:val="0"/>
                <w:sz w:val="32"/>
              </w:rPr>
              <w:t>效益指标</w:t>
            </w:r>
          </w:p>
        </w:tc>
        <w:tc>
          <w:p w14:paraId="2F94D6A9">
            <w:pPr>
              <w:jc w:val="center"/>
            </w:pPr>
            <w:r>
              <w:rPr>
                <w:rFonts w:ascii="仿宋" w:hAnsi="仿宋" w:eastAsia="仿宋" w:cs="仿宋"/>
                <w:b w:val="0"/>
                <w:sz w:val="32"/>
              </w:rPr>
              <w:t>24.0</w:t>
            </w:r>
          </w:p>
        </w:tc>
        <w:tc>
          <w:p w14:paraId="611456B6">
            <w:pPr>
              <w:jc w:val="center"/>
            </w:pPr>
            <w:r>
              <w:rPr>
                <w:rFonts w:ascii="仿宋" w:hAnsi="仿宋" w:eastAsia="仿宋" w:cs="仿宋"/>
                <w:b w:val="0"/>
                <w:sz w:val="32"/>
              </w:rPr>
              <w:t>24.0</w:t>
            </w:r>
          </w:p>
        </w:tc>
        <w:tc>
          <w:p w14:paraId="05E9EEA3">
            <w:pPr>
              <w:jc w:val="center"/>
            </w:pPr>
            <w:r>
              <w:rPr>
                <w:rFonts w:ascii="仿宋" w:hAnsi="仿宋" w:eastAsia="仿宋" w:cs="仿宋"/>
                <w:b w:val="0"/>
                <w:sz w:val="32"/>
              </w:rPr>
              <w:t>100.00%</w:t>
            </w:r>
          </w:p>
        </w:tc>
      </w:tr>
    </w:tbl>
    <w:p w14:paraId="220D9B0F">
      <w:pPr>
        <w:pStyle w:val="2"/>
        <w:bidi w:val="0"/>
      </w:pPr>
      <w:bookmarkStart w:id="80" w:name="_Toc21928"/>
      <w:bookmarkStart w:id="81" w:name="_Toc25421"/>
      <w:r>
        <w:rPr>
          <w:rFonts w:hint="eastAsia"/>
        </w:rPr>
        <w:t>四、</w:t>
      </w:r>
      <w:bookmarkEnd w:id="45"/>
      <w:bookmarkEnd w:id="46"/>
      <w:bookmarkEnd w:id="47"/>
      <w:r>
        <w:rPr>
          <w:rFonts w:hint="eastAsia"/>
        </w:rPr>
        <w:t>绩效评价指标分析</w:t>
      </w:r>
      <w:bookmarkEnd w:id="48"/>
      <w:bookmarkEnd w:id="49"/>
      <w:bookmarkEnd w:id="50"/>
      <w:bookmarkEnd w:id="51"/>
      <w:bookmarkEnd w:id="74"/>
      <w:bookmarkEnd w:id="79"/>
      <w:bookmarkEnd w:id="80"/>
      <w:bookmarkEnd w:id="81"/>
      <w:bookmarkStart w:id="82" w:name="_Toc26570_WPSOffice_Level2"/>
      <w:bookmarkStart w:id="83" w:name="_Toc28988"/>
      <w:bookmarkStart w:id="84" w:name="_Toc4780_WPSOffice_Level2"/>
      <w:bookmarkStart w:id="85" w:name="_Hlk2366513"/>
      <w:bookmarkStart w:id="86" w:name="_Toc17947"/>
      <w:bookmarkStart w:id="87" w:name="_Toc18549_WPSOffice_Level2"/>
      <w:bookmarkStart w:id="88" w:name="_Toc379"/>
      <w:bookmarkStart w:id="89" w:name="_Toc24823_WPSOffice_Level2"/>
    </w:p>
    <w:p w14:paraId="6AD0DB0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90" w:name="_Toc27119"/>
      <w:bookmarkStart w:id="91" w:name="_Toc9161"/>
      <w:r>
        <w:rPr>
          <w:rFonts w:hint="eastAsia" w:ascii="楷体_GB2312" w:hAnsi="楷体_GB2312" w:eastAsia="楷体_GB2312" w:cs="楷体_GB2312"/>
          <w:b/>
          <w:bCs/>
          <w:kern w:val="0"/>
          <w:sz w:val="32"/>
          <w:szCs w:val="32"/>
        </w:rPr>
        <w:t>（一）决策指标（满分18.0分，实得18.0分）</w:t>
      </w:r>
      <w:bookmarkEnd w:id="90"/>
      <w:bookmarkEnd w:id="91"/>
    </w:p>
    <w:p w14:paraId="7EA26C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1AFAC08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103B46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根据教育部等五部门关于印发《职业学校办学条件达标工程实施方案》的通知（教职成〔2022〕5 号）、陕西省教育厅关于印发《陕西省中等职业学校办学条件达标工作方案》《陕西省中等职业学校教学工作基本要求》的通知（陕教〔2022〕103号），扶风县人民政府于2023年4月11日召开专项问题会议（第八次），决定对职教中心基础设施改造提升进行补助。项目主管部门为扶风县教育体育局，组织实施部门为扶风县职业教育中心。经分析，项目立项符合国家法律法规、国民经济发展规划和相关政策，与部门职责范围相符；</w:t>
      </w:r>
      <w:r>
        <w:rPr>
          <w:rFonts w:ascii="仿宋" w:hAnsi="仿宋" w:eastAsia="仿宋" w:cs="仿宋"/>
          <w:kern w:val="0"/>
          <w:sz w:val="32"/>
          <w:szCs w:val="32"/>
          <w:highlight w:val="none"/>
        </w:rPr>
        <w:t>符合陕西省中等职业学校办学条件达标工作方案和陕西省中等职业学校教学工作基本要求；</w:t>
      </w:r>
      <w:r>
        <w:rPr>
          <w:rFonts w:ascii="仿宋" w:hAnsi="仿宋" w:eastAsia="仿宋" w:cs="仿宋"/>
          <w:kern w:val="0"/>
          <w:sz w:val="32"/>
          <w:szCs w:val="32"/>
        </w:rPr>
        <w:t>项目资金投向公共基础设施，属非经营性项目，与相关部门同类项目或部门内部相关项目不重复。</w:t>
      </w:r>
    </w:p>
    <w:p w14:paraId="3334FE8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7C7C3C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770030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扶风县教育体育局于2023年3月16日，向扶风县人民政府以《关于申请拨付扶风县职教中心基础设施改造提升所需资金的报告》，申请基础设施改造提升补助项目，经县财政局审核，县政府批准</w:t>
      </w:r>
      <w:r>
        <w:rPr>
          <w:rFonts w:hint="eastAsia" w:ascii="仿宋" w:hAnsi="仿宋" w:eastAsia="仿宋" w:cs="仿宋"/>
          <w:kern w:val="0"/>
          <w:sz w:val="32"/>
          <w:szCs w:val="32"/>
          <w:lang w:eastAsia="zh-CN"/>
        </w:rPr>
        <w:t>。</w:t>
      </w:r>
      <w:r>
        <w:rPr>
          <w:rFonts w:ascii="仿宋" w:hAnsi="仿宋" w:eastAsia="仿宋" w:cs="仿宋"/>
          <w:kern w:val="0"/>
          <w:sz w:val="32"/>
          <w:szCs w:val="32"/>
        </w:rPr>
        <w:t>经分析，事前经过必要的可行性研究、集体决策，项目按照规定的程序申请设立，审批文件、材料是否符合相关要求。</w:t>
      </w:r>
    </w:p>
    <w:p w14:paraId="3588DD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1A9FBB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r>
        <w:rPr>
          <w:rFonts w:ascii="仿宋" w:hAnsi="仿宋" w:eastAsia="仿宋" w:cs="仿宋"/>
          <w:kern w:val="0"/>
          <w:sz w:val="32"/>
          <w:szCs w:val="32"/>
        </w:rPr>
        <w:t>绩效目标（满分7.0分，实得7.0分）</w:t>
      </w:r>
    </w:p>
    <w:p w14:paraId="2E8A47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（1）绩效目标合理性（满分4.0分，实得4.0分）</w:t>
      </w:r>
    </w:p>
    <w:p w14:paraId="1AD122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设置课桌椅采购、实训楼弱电系统采购、智慧黑板采购，有效缓解扶风县职教中心硬件设施的不足和招生压力，改善学校办学条件，提升学校办学质量，创建省级中等职业示范校，践行以人为本，办教为民的教育理念提供基础保障为总体目标。经分析，该项目有绩效目标，项目绩效目标与实际工作内容相关，预期产出效益和效果符合正常的业绩水平。</w:t>
      </w:r>
    </w:p>
    <w:p w14:paraId="52E778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1AC2C9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w:t>
      </w:r>
      <w:r>
        <w:rPr>
          <w:rFonts w:hint="eastAsia" w:ascii="仿宋" w:hAnsi="仿宋" w:eastAsia="仿宋" w:cs="仿宋"/>
          <w:kern w:val="0"/>
          <w:sz w:val="32"/>
          <w:szCs w:val="32"/>
          <w:lang w:val="en-US" w:eastAsia="zh-CN"/>
        </w:rPr>
        <w:t>1.5</w:t>
      </w:r>
      <w:r>
        <w:rPr>
          <w:rFonts w:ascii="仿宋" w:hAnsi="仿宋" w:eastAsia="仿宋" w:cs="仿宋"/>
          <w:kern w:val="0"/>
          <w:sz w:val="32"/>
          <w:szCs w:val="32"/>
        </w:rPr>
        <w:t>分）</w:t>
      </w:r>
    </w:p>
    <w:p w14:paraId="15DDE1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将采购33块黑板、996套课桌椅、1套网络广播监控系统、安全防护网面积1658平方米，支出200万元设置为产出指标；将办学条件显著提高作为效益指标。经分析，项目已将绩效目标进行了细化分解，通过清晰、可衡量的指标值予以体现，与项目目标任务数或计划数相对应</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但</w:t>
      </w:r>
      <w:r>
        <w:rPr>
          <w:rFonts w:hint="eastAsia" w:ascii="仿宋" w:hAnsi="仿宋" w:eastAsia="仿宋" w:cs="仿宋"/>
          <w:kern w:val="0"/>
          <w:sz w:val="32"/>
          <w:szCs w:val="32"/>
          <w:lang w:eastAsia="zh-CN"/>
        </w:rPr>
        <w:t>效益指标不明确</w:t>
      </w:r>
    </w:p>
    <w:p w14:paraId="76974D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w:t>
      </w:r>
      <w:r>
        <w:rPr>
          <w:rFonts w:hint="eastAsia" w:ascii="仿宋" w:hAnsi="仿宋" w:eastAsia="仿宋" w:cs="仿宋"/>
          <w:kern w:val="0"/>
          <w:sz w:val="32"/>
          <w:szCs w:val="32"/>
          <w:lang w:val="en-US" w:eastAsia="zh-CN"/>
        </w:rPr>
        <w:t>1.5</w:t>
      </w:r>
      <w:r>
        <w:rPr>
          <w:rFonts w:ascii="仿宋" w:hAnsi="仿宋" w:eastAsia="仿宋" w:cs="仿宋"/>
          <w:kern w:val="0"/>
          <w:sz w:val="32"/>
          <w:szCs w:val="32"/>
        </w:rPr>
        <w:t>分，评价得</w:t>
      </w:r>
      <w:r>
        <w:rPr>
          <w:rFonts w:hint="eastAsia" w:ascii="仿宋" w:hAnsi="仿宋" w:eastAsia="仿宋" w:cs="仿宋"/>
          <w:kern w:val="0"/>
          <w:sz w:val="32"/>
          <w:szCs w:val="32"/>
          <w:lang w:val="en-US" w:eastAsia="zh-CN"/>
        </w:rPr>
        <w:t>1.5</w:t>
      </w:r>
      <w:r>
        <w:rPr>
          <w:rFonts w:ascii="仿宋" w:hAnsi="仿宋" w:eastAsia="仿宋" w:cs="仿宋"/>
          <w:kern w:val="0"/>
          <w:sz w:val="32"/>
          <w:szCs w:val="32"/>
        </w:rPr>
        <w:t>分。</w:t>
      </w:r>
    </w:p>
    <w:p w14:paraId="76B409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0AEBDF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1411D3E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由扶风县职业教育中心编制，经财政局审核、政府批准列入部门预算。经分析，预算编制经过科学论证，预算内容与项目内容匹配，预算额度测算依据充分，预算确定的项目投资额或资金量与工作任务相匹配。</w:t>
      </w:r>
    </w:p>
    <w:p w14:paraId="3EF1B2E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39A125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12AA4B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项目预算资金列入部门预算，经</w:t>
      </w:r>
      <w:r>
        <w:rPr>
          <w:rFonts w:hint="eastAsia" w:ascii="仿宋" w:hAnsi="仿宋" w:eastAsia="仿宋" w:cs="仿宋"/>
          <w:kern w:val="0"/>
          <w:sz w:val="32"/>
          <w:szCs w:val="32"/>
          <w:lang w:val="en-US" w:eastAsia="zh-CN"/>
        </w:rPr>
        <w:t>扶风县</w:t>
      </w:r>
      <w:r>
        <w:rPr>
          <w:rFonts w:ascii="仿宋" w:hAnsi="仿宋" w:eastAsia="仿宋" w:cs="仿宋"/>
          <w:kern w:val="0"/>
          <w:sz w:val="32"/>
          <w:szCs w:val="32"/>
        </w:rPr>
        <w:t>人代会批准后，由财政下达给扶风县职教中心；资金拨付以批准的部门预算额度为准，如确需追加预算的，由扶风县职教中心按专项资金设立程序了解完提出申请报扶风县财政局，并按照权限由扶风县财政局审定。经分析，预算资金分配依据充分，资金分配额度合理、与项目实际相适应。</w:t>
      </w:r>
    </w:p>
    <w:p w14:paraId="653FC37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57D332C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92" w:name="_Toc24755"/>
      <w:bookmarkStart w:id="93" w:name="_Toc13675"/>
      <w:r>
        <w:rPr>
          <w:rFonts w:hint="eastAsia" w:ascii="楷体_GB2312" w:hAnsi="楷体_GB2312" w:eastAsia="楷体_GB2312" w:cs="楷体_GB2312"/>
          <w:b/>
          <w:bCs/>
          <w:kern w:val="0"/>
          <w:sz w:val="32"/>
          <w:szCs w:val="32"/>
        </w:rPr>
        <w:t>（二）过程指标（满分22.0分，实得</w:t>
      </w:r>
      <w:r>
        <w:rPr>
          <w:rFonts w:hint="eastAsia" w:ascii="楷体_GB2312" w:hAnsi="楷体_GB2312" w:eastAsia="楷体_GB2312" w:cs="楷体_GB2312"/>
          <w:b/>
          <w:bCs/>
          <w:kern w:val="0"/>
          <w:sz w:val="32"/>
          <w:szCs w:val="32"/>
          <w:lang w:val="en-US" w:eastAsia="zh-CN"/>
        </w:rPr>
        <w:t>18</w:t>
      </w:r>
      <w:r>
        <w:rPr>
          <w:rFonts w:hint="eastAsia" w:ascii="楷体_GB2312" w:hAnsi="楷体_GB2312" w:eastAsia="楷体_GB2312" w:cs="楷体_GB2312"/>
          <w:b/>
          <w:bCs/>
          <w:kern w:val="0"/>
          <w:sz w:val="32"/>
          <w:szCs w:val="32"/>
        </w:rPr>
        <w:t>.0分）</w:t>
      </w:r>
      <w:bookmarkEnd w:id="92"/>
      <w:bookmarkEnd w:id="93"/>
    </w:p>
    <w:p w14:paraId="129433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w:t>
      </w:r>
      <w:r>
        <w:rPr>
          <w:rFonts w:hint="eastAsia" w:ascii="仿宋" w:hAnsi="仿宋" w:eastAsia="仿宋" w:cs="仿宋"/>
          <w:kern w:val="0"/>
          <w:sz w:val="32"/>
          <w:szCs w:val="32"/>
          <w:lang w:val="en-US" w:eastAsia="zh-CN"/>
        </w:rPr>
        <w:t>8</w:t>
      </w:r>
      <w:r>
        <w:rPr>
          <w:rFonts w:ascii="仿宋" w:hAnsi="仿宋" w:eastAsia="仿宋" w:cs="仿宋"/>
          <w:kern w:val="0"/>
          <w:sz w:val="32"/>
          <w:szCs w:val="32"/>
        </w:rPr>
        <w:t>.0分）</w:t>
      </w:r>
    </w:p>
    <w:p w14:paraId="202010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2DED04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w:t>
      </w:r>
    </w:p>
    <w:p w14:paraId="67A0A9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扶风县财政局于2023年3月27日以</w:t>
      </w:r>
      <w:r>
        <w:rPr>
          <w:rFonts w:hint="eastAsia" w:ascii="仿宋" w:hAnsi="仿宋" w:eastAsia="仿宋" w:cs="仿宋"/>
          <w:kern w:val="0"/>
          <w:sz w:val="32"/>
          <w:szCs w:val="32"/>
          <w:lang w:eastAsia="zh-CN"/>
        </w:rPr>
        <w:t>“</w:t>
      </w:r>
      <w:r>
        <w:rPr>
          <w:rFonts w:ascii="仿宋" w:hAnsi="仿宋" w:eastAsia="仿宋" w:cs="仿宋"/>
          <w:kern w:val="0"/>
          <w:sz w:val="32"/>
          <w:szCs w:val="32"/>
        </w:rPr>
        <w:t>扶财办预〔2023〕024号</w:t>
      </w:r>
      <w:r>
        <w:rPr>
          <w:rFonts w:hint="eastAsia" w:ascii="仿宋" w:hAnsi="仿宋" w:eastAsia="仿宋" w:cs="仿宋"/>
          <w:kern w:val="0"/>
          <w:sz w:val="32"/>
          <w:szCs w:val="32"/>
          <w:lang w:eastAsia="zh-CN"/>
        </w:rPr>
        <w:t>”</w:t>
      </w:r>
      <w:r>
        <w:rPr>
          <w:rFonts w:ascii="仿宋" w:hAnsi="仿宋" w:eastAsia="仿宋" w:cs="仿宋"/>
          <w:kern w:val="0"/>
          <w:sz w:val="32"/>
          <w:szCs w:val="32"/>
        </w:rPr>
        <w:t>文件向扶风县教育体育局下达项目预算资金200万元，资金到位率100%。</w:t>
      </w:r>
    </w:p>
    <w:p w14:paraId="7ADA96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70007C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rPr>
        <w:t>（</w:t>
      </w:r>
      <w:r>
        <w:rPr>
          <w:rFonts w:ascii="仿宋" w:hAnsi="仿宋" w:eastAsia="仿宋" w:cs="仿宋"/>
          <w:kern w:val="0"/>
          <w:sz w:val="32"/>
          <w:szCs w:val="32"/>
          <w:highlight w:val="none"/>
        </w:rPr>
        <w:t>2）预算执行率（满分5.0分，实得</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.0分）</w:t>
      </w:r>
    </w:p>
    <w:p w14:paraId="5D7F622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项目实际到位资金为200万元，实际支出资金为</w:t>
      </w:r>
      <w:r>
        <w:rPr>
          <w:rFonts w:hint="eastAsia" w:ascii="仿宋" w:hAnsi="仿宋" w:eastAsia="仿宋" w:cs="仿宋"/>
          <w:kern w:val="0"/>
          <w:sz w:val="32"/>
          <w:szCs w:val="32"/>
          <w:highlight w:val="none"/>
        </w:rPr>
        <w:t>151.96</w:t>
      </w:r>
      <w:r>
        <w:rPr>
          <w:rFonts w:ascii="仿宋" w:hAnsi="仿宋" w:eastAsia="仿宋" w:cs="仿宋"/>
          <w:kern w:val="0"/>
          <w:sz w:val="32"/>
          <w:szCs w:val="32"/>
          <w:highlight w:val="none"/>
        </w:rPr>
        <w:t>万元，预算执行率为</w:t>
      </w:r>
      <w:r>
        <w:rPr>
          <w:rFonts w:hint="eastAsia" w:ascii="仿宋" w:hAnsi="仿宋" w:eastAsia="仿宋" w:cs="仿宋"/>
          <w:kern w:val="0"/>
          <w:sz w:val="32"/>
          <w:szCs w:val="32"/>
          <w:highlight w:val="none"/>
        </w:rPr>
        <w:t>75.98%</w:t>
      </w:r>
      <w:r>
        <w:rPr>
          <w:rFonts w:ascii="仿宋" w:hAnsi="仿宋" w:eastAsia="仿宋" w:cs="仿宋"/>
          <w:kern w:val="0"/>
          <w:sz w:val="32"/>
          <w:szCs w:val="32"/>
          <w:highlight w:val="none"/>
        </w:rPr>
        <w:t>。</w:t>
      </w:r>
    </w:p>
    <w:p w14:paraId="01FB24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根据评分标准，本指标满分5.0分，扣</w:t>
      </w:r>
      <w:r>
        <w:rPr>
          <w:rFonts w:hint="eastAsia" w:ascii="仿宋" w:hAnsi="仿宋" w:eastAsia="仿宋" w:cs="仿宋"/>
          <w:kern w:val="0"/>
          <w:sz w:val="32"/>
          <w:szCs w:val="32"/>
          <w:highlight w:val="none"/>
          <w:lang w:val="en-US" w:eastAsia="zh-CN"/>
        </w:rPr>
        <w:t>3</w:t>
      </w:r>
      <w:r>
        <w:rPr>
          <w:rFonts w:ascii="仿宋" w:hAnsi="仿宋" w:eastAsia="仿宋" w:cs="仿宋"/>
          <w:kern w:val="0"/>
          <w:sz w:val="32"/>
          <w:szCs w:val="32"/>
          <w:highlight w:val="none"/>
        </w:rPr>
        <w:t>.0分，评价得</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.0分。</w:t>
      </w:r>
    </w:p>
    <w:p w14:paraId="6EEA7C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399D9F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w:t>
      </w:r>
      <w:r>
        <w:rPr>
          <w:rFonts w:hint="eastAsia" w:ascii="仿宋" w:hAnsi="仿宋" w:eastAsia="仿宋" w:cs="仿宋"/>
          <w:kern w:val="0"/>
          <w:sz w:val="32"/>
          <w:szCs w:val="32"/>
          <w:lang w:eastAsia="zh-CN"/>
        </w:rPr>
        <w:t>，</w:t>
      </w:r>
      <w:r>
        <w:rPr>
          <w:rFonts w:ascii="仿宋" w:hAnsi="仿宋" w:eastAsia="仿宋" w:cs="仿宋"/>
          <w:kern w:val="0"/>
          <w:sz w:val="32"/>
          <w:szCs w:val="32"/>
        </w:rPr>
        <w:t>由扶风县教育体育局提出申请，经扶风县财政局审核、批准项目达到合同规定的付款条件，凭合同、发票、验收资料等，按照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批流程批准后，资金直接支付给施工单位</w:t>
      </w:r>
      <w:r>
        <w:rPr>
          <w:rFonts w:hint="eastAsia" w:ascii="仿宋" w:hAnsi="仿宋" w:eastAsia="仿宋" w:cs="仿宋"/>
          <w:kern w:val="0"/>
          <w:sz w:val="32"/>
          <w:szCs w:val="32"/>
          <w:lang w:val="en-US" w:eastAsia="zh-CN"/>
        </w:rPr>
        <w:t>和供应商</w:t>
      </w:r>
      <w:r>
        <w:rPr>
          <w:rFonts w:ascii="仿宋" w:hAnsi="仿宋" w:eastAsia="仿宋" w:cs="仿宋"/>
          <w:kern w:val="0"/>
          <w:sz w:val="32"/>
          <w:szCs w:val="32"/>
        </w:rPr>
        <w:t>。经分析，项目资金的支出符合国家财经法规和《财务管理制度》的规定，资金的拨付有完整的审批程序和手续，符合项目合同规定的用途，不存在截留、挤占、挪用、虚列支出等情况。</w:t>
      </w:r>
    </w:p>
    <w:p w14:paraId="0132B7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624944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2、组织实施（满分11.0分，实得10.0分）</w:t>
      </w:r>
    </w:p>
    <w:p w14:paraId="10D376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04486E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扶风县职教中心于2023年9月8日，委托陕西铭润工程项目管理有限公司通过公开招标的方式，确定多媒体讲台和学生课</w:t>
      </w:r>
      <w:r>
        <w:rPr>
          <w:rFonts w:hint="eastAsia" w:ascii="仿宋" w:hAnsi="仿宋" w:eastAsia="仿宋" w:cs="仿宋"/>
          <w:kern w:val="0"/>
          <w:sz w:val="32"/>
          <w:szCs w:val="32"/>
          <w:lang w:val="en-US" w:eastAsia="zh-CN"/>
        </w:rPr>
        <w:t>桌</w:t>
      </w:r>
      <w:r>
        <w:rPr>
          <w:rFonts w:ascii="仿宋" w:hAnsi="仿宋" w:eastAsia="仿宋" w:cs="仿宋"/>
          <w:kern w:val="0"/>
          <w:sz w:val="32"/>
          <w:szCs w:val="32"/>
        </w:rPr>
        <w:t>椅采购项目的供应商为陕西华泰教学设备有限公司；于2024年1月17日委托陕西建政项目管理有限公司通过公开招标的方式，确定扶风县职业教育中心智慧黑板采购项目的供应商为移动通信集团陕西有限公司宝鸡分公司；于2023年8月4日委托宝鸡天正项目管理咨询有限公司通过公开招标的方式，确定扶风县职业教育中心实训楼弱电系统采购项目的供应商为中国电信股份有限公司宝鸡分公司。经分析，项目采购执行了内部决策程序，项目按照相关政策执行政府采购程序，项目采购方式符合规定。</w:t>
      </w:r>
    </w:p>
    <w:p w14:paraId="17E23D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7526DA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（2）管理制度健全性（满分2.0分，实得1.0分）</w:t>
      </w:r>
    </w:p>
    <w:p w14:paraId="4F2E40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单位</w:t>
      </w:r>
      <w:r>
        <w:rPr>
          <w:rFonts w:ascii="仿宋" w:hAnsi="仿宋" w:eastAsia="仿宋" w:cs="仿宋"/>
          <w:kern w:val="0"/>
          <w:sz w:val="32"/>
          <w:szCs w:val="32"/>
        </w:rPr>
        <w:t>制订的《财务管理制度》规定：局机关及所属事业单位发生的支出，有指定项目、用途的专项资金，要按项目进行单独核算，各项支出应有实际收款方据实开</w:t>
      </w:r>
      <w:r>
        <w:rPr>
          <w:rFonts w:hint="eastAsia" w:ascii="仿宋" w:hAnsi="仿宋" w:eastAsia="仿宋" w:cs="仿宋"/>
          <w:kern w:val="0"/>
          <w:sz w:val="32"/>
          <w:szCs w:val="32"/>
          <w:lang w:val="en-US" w:eastAsia="zh-CN"/>
        </w:rPr>
        <w:t>具</w:t>
      </w:r>
      <w:r>
        <w:rPr>
          <w:rFonts w:ascii="仿宋" w:hAnsi="仿宋" w:eastAsia="仿宋" w:cs="仿宋"/>
          <w:kern w:val="0"/>
          <w:sz w:val="32"/>
          <w:szCs w:val="32"/>
        </w:rPr>
        <w:t>的正式票据，没有正式票据或票据内容不真实的不予结算审批。经分析，项目单位具有相应的财务管理制度，财务管理制度合法、合规、完整。但未制定业务管理制度。</w:t>
      </w:r>
    </w:p>
    <w:p w14:paraId="6454CA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根据评分标准，本指标满分2.0分，扣1.0分，评价得1.0分。</w:t>
      </w:r>
    </w:p>
    <w:p w14:paraId="43ACB5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（3）绩效自评规范性（满分4.0分，实得4.0分）</w:t>
      </w:r>
    </w:p>
    <w:p w14:paraId="3CB5A5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2023年预算年度结束后，项目单位对专项资金实施效果进行绩效自评。经分析，项目实施单位进行绩效自评，报告及打分表完整，自评报告数据准确，内容翔实。</w:t>
      </w:r>
    </w:p>
    <w:p w14:paraId="26CE41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2C7299F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94" w:name="_Toc13989"/>
      <w:bookmarkStart w:id="95" w:name="_Toc23195"/>
      <w:r>
        <w:rPr>
          <w:rFonts w:hint="eastAsia" w:ascii="楷体_GB2312" w:hAnsi="楷体_GB2312" w:eastAsia="楷体_GB2312" w:cs="楷体_GB2312"/>
          <w:b/>
          <w:bCs/>
          <w:kern w:val="0"/>
          <w:sz w:val="32"/>
          <w:szCs w:val="32"/>
        </w:rPr>
        <w:t>（三）产出指标（满分36.0分，实得36.0分）</w:t>
      </w:r>
      <w:bookmarkEnd w:id="94"/>
      <w:bookmarkEnd w:id="95"/>
    </w:p>
    <w:p w14:paraId="4385583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370FBC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4AAE32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项目计划内容已全部实施。</w:t>
      </w:r>
    </w:p>
    <w:p w14:paraId="521351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58143A8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77A933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质量合格率（满分9.0分，实得9.0分）</w:t>
      </w:r>
    </w:p>
    <w:p w14:paraId="5298F0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职教中心基础设施改造提升补助项目课桌椅采购、实训楼弱电系统采购项目，验收合格。</w:t>
      </w:r>
    </w:p>
    <w:p w14:paraId="175495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57DE55E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62BCB5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完成及时率（满分9.0分，实得</w:t>
      </w:r>
      <w:r>
        <w:rPr>
          <w:rFonts w:hint="eastAsia" w:ascii="仿宋" w:hAnsi="仿宋" w:eastAsia="仿宋" w:cs="仿宋"/>
          <w:kern w:val="0"/>
          <w:sz w:val="32"/>
          <w:szCs w:val="32"/>
          <w:highlight w:val="none"/>
          <w:lang w:val="en-US" w:eastAsia="zh-CN"/>
        </w:rPr>
        <w:t>9</w:t>
      </w:r>
      <w:r>
        <w:rPr>
          <w:rFonts w:ascii="仿宋" w:hAnsi="仿宋" w:eastAsia="仿宋" w:cs="仿宋"/>
          <w:kern w:val="0"/>
          <w:sz w:val="32"/>
          <w:szCs w:val="32"/>
          <w:highlight w:val="none"/>
        </w:rPr>
        <w:t>.0分）</w:t>
      </w:r>
    </w:p>
    <w:p w14:paraId="1EBC25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实训楼弱电系统采购项目</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课桌椅采购已在2023年度完成</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智慧黑板2024年开始招标，截至5月已完成</w:t>
      </w:r>
      <w:r>
        <w:rPr>
          <w:rFonts w:ascii="仿宋" w:hAnsi="仿宋" w:eastAsia="仿宋" w:cs="仿宋"/>
          <w:kern w:val="0"/>
          <w:sz w:val="32"/>
          <w:szCs w:val="32"/>
          <w:highlight w:val="none"/>
        </w:rPr>
        <w:t>。</w:t>
      </w:r>
    </w:p>
    <w:p w14:paraId="51C3D8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1FB044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6672AB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成本节约率（满分9.0分，实得9.0分）</w:t>
      </w:r>
    </w:p>
    <w:p w14:paraId="32656C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val="en-US" w:eastAsia="zh-CN"/>
        </w:rPr>
      </w:pPr>
      <w:r>
        <w:rPr>
          <w:rFonts w:ascii="仿宋" w:hAnsi="仿宋" w:eastAsia="仿宋" w:cs="仿宋"/>
          <w:kern w:val="0"/>
          <w:sz w:val="32"/>
          <w:szCs w:val="32"/>
        </w:rPr>
        <w:t>项目预算资金下达200万元，截至2024年4月17日，已支付</w:t>
      </w:r>
      <w:r>
        <w:rPr>
          <w:rFonts w:hint="eastAsia" w:ascii="仿宋" w:hAnsi="仿宋" w:eastAsia="仿宋" w:cs="仿宋"/>
          <w:kern w:val="0"/>
          <w:sz w:val="32"/>
          <w:szCs w:val="32"/>
          <w:lang w:val="en-US" w:eastAsia="zh-CN"/>
        </w:rPr>
        <w:t>151.96</w:t>
      </w:r>
      <w:r>
        <w:rPr>
          <w:rFonts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未支付完，</w:t>
      </w:r>
      <w:r>
        <w:rPr>
          <w:rFonts w:ascii="仿宋" w:hAnsi="仿宋" w:eastAsia="仿宋" w:cs="仿宋"/>
          <w:kern w:val="0"/>
          <w:sz w:val="32"/>
          <w:szCs w:val="32"/>
        </w:rPr>
        <w:t>成本节约率为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p>
    <w:p w14:paraId="7ADA7F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4498703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96" w:name="_Toc20994"/>
      <w:bookmarkStart w:id="97" w:name="_Toc6074"/>
      <w:r>
        <w:rPr>
          <w:rFonts w:hint="eastAsia" w:ascii="楷体_GB2312" w:hAnsi="楷体_GB2312" w:eastAsia="楷体_GB2312" w:cs="楷体_GB2312"/>
          <w:b/>
          <w:bCs/>
          <w:kern w:val="0"/>
          <w:sz w:val="32"/>
          <w:szCs w:val="32"/>
        </w:rPr>
        <w:t>（四）效益指标（满分24.0分，实得24.0分）</w:t>
      </w:r>
      <w:bookmarkEnd w:id="96"/>
      <w:bookmarkEnd w:id="97"/>
    </w:p>
    <w:p w14:paraId="2847D5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58BD01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（1）改善学习环境，提升学校形象，促进教育公平（满分18.0分，实得18.0分）</w:t>
      </w:r>
    </w:p>
    <w:p w14:paraId="395F2B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不断改善办学条件，不断提高教育教学保障能力，为推动学校实现转型发展，全面提升，建设特色鲜明的高水平职业教育中心，营造更加和谐、更加文明的校园环境。提升师生幸福感，通过对校园维修改造、大大提升了学校形象。</w:t>
      </w:r>
    </w:p>
    <w:p w14:paraId="1744B3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250A69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7E8559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（1）学校师生满意度（满分6.0分，实得6.0分）</w:t>
      </w:r>
    </w:p>
    <w:p w14:paraId="3CEBC9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eastAsia="zh-CN"/>
        </w:rPr>
        <w:t>评价组机构通过抽样共计发放</w:t>
      </w:r>
      <w:r>
        <w:rPr>
          <w:rFonts w:ascii="仿宋" w:hAnsi="仿宋" w:eastAsia="仿宋" w:cs="仿宋"/>
          <w:kern w:val="0"/>
          <w:sz w:val="32"/>
          <w:szCs w:val="32"/>
        </w:rPr>
        <w:t>152份问卷，社会公众对项目的整体评价为非常满意。满意度调查情况详见《调查问卷分析》。</w:t>
      </w:r>
    </w:p>
    <w:p w14:paraId="6AAE9E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07ACE176">
      <w:pPr>
        <w:pStyle w:val="2"/>
        <w:bidi w:val="0"/>
        <w:rPr>
          <w:b/>
          <w:bCs/>
        </w:rPr>
      </w:pPr>
      <w:bookmarkStart w:id="98" w:name="_Toc7802"/>
      <w:bookmarkStart w:id="99" w:name="_Toc20358"/>
      <w:r>
        <w:rPr>
          <w:rFonts w:hint="eastAsia"/>
          <w:b/>
          <w:bCs/>
          <w:lang w:val="en-US" w:eastAsia="zh-CN"/>
        </w:rPr>
        <w:t>五</w:t>
      </w:r>
      <w:r>
        <w:rPr>
          <w:rFonts w:hint="eastAsia"/>
          <w:b/>
          <w:bCs/>
        </w:rPr>
        <w:t>、存在的问题</w:t>
      </w:r>
      <w:bookmarkEnd w:id="98"/>
      <w:bookmarkEnd w:id="99"/>
    </w:p>
    <w:p w14:paraId="6040820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lang w:val="en-US" w:eastAsia="zh-CN"/>
        </w:rPr>
      </w:pPr>
      <w:bookmarkStart w:id="100" w:name="_Toc19354"/>
      <w:bookmarkStart w:id="101" w:name="_Toc10840"/>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kern w:val="0"/>
          <w:sz w:val="32"/>
          <w:szCs w:val="32"/>
          <w:lang w:val="en-US" w:eastAsia="zh-CN"/>
        </w:rPr>
        <w:t>预算执行率偏低</w:t>
      </w:r>
      <w:bookmarkEnd w:id="100"/>
    </w:p>
    <w:p w14:paraId="54F807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eastAsia="zh-CN"/>
        </w:rPr>
      </w:pPr>
      <w:r>
        <w:rPr>
          <w:rFonts w:ascii="仿宋" w:hAnsi="仿宋" w:eastAsia="仿宋" w:cs="仿宋"/>
          <w:kern w:val="0"/>
          <w:sz w:val="32"/>
          <w:szCs w:val="32"/>
        </w:rPr>
        <w:t>项目实际到位资金为200万元，实际支出资金为</w:t>
      </w:r>
      <w:r>
        <w:rPr>
          <w:rFonts w:hint="eastAsia" w:ascii="仿宋" w:hAnsi="仿宋" w:eastAsia="仿宋" w:cs="仿宋"/>
          <w:kern w:val="0"/>
          <w:sz w:val="32"/>
          <w:szCs w:val="32"/>
        </w:rPr>
        <w:t>151.96</w:t>
      </w:r>
      <w:r>
        <w:rPr>
          <w:rFonts w:ascii="仿宋" w:hAnsi="仿宋" w:eastAsia="仿宋" w:cs="仿宋"/>
          <w:kern w:val="0"/>
          <w:sz w:val="32"/>
          <w:szCs w:val="32"/>
        </w:rPr>
        <w:t>万元，预算执行率为</w:t>
      </w:r>
      <w:r>
        <w:rPr>
          <w:rFonts w:hint="eastAsia" w:ascii="仿宋" w:hAnsi="仿宋" w:eastAsia="仿宋" w:cs="仿宋"/>
          <w:kern w:val="0"/>
          <w:sz w:val="32"/>
          <w:szCs w:val="32"/>
        </w:rPr>
        <w:t>75.98%</w:t>
      </w:r>
      <w:r>
        <w:rPr>
          <w:rFonts w:ascii="仿宋" w:hAnsi="仿宋" w:eastAsia="仿宋" w:cs="仿宋"/>
          <w:kern w:val="0"/>
          <w:sz w:val="32"/>
          <w:szCs w:val="32"/>
        </w:rPr>
        <w:t>。</w:t>
      </w:r>
    </w:p>
    <w:p w14:paraId="630A9AA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102" w:name="_Toc23074"/>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rPr>
        <w:t>管理制度不够健全</w:t>
      </w:r>
      <w:bookmarkEnd w:id="101"/>
      <w:bookmarkEnd w:id="102"/>
    </w:p>
    <w:p w14:paraId="18BF007F">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项目单位未制定业务管理制度。</w:t>
      </w:r>
    </w:p>
    <w:p w14:paraId="482512D0">
      <w:pPr>
        <w:pStyle w:val="2"/>
        <w:bidi w:val="0"/>
      </w:pPr>
      <w:bookmarkStart w:id="103" w:name="_Toc7856"/>
      <w:bookmarkStart w:id="104" w:name="_Toc3104"/>
      <w:r>
        <w:rPr>
          <w:rFonts w:hint="eastAsia"/>
          <w:lang w:val="en-US" w:eastAsia="zh-CN"/>
        </w:rPr>
        <w:t>六</w:t>
      </w:r>
      <w:r>
        <w:rPr>
          <w:rFonts w:hint="eastAsia"/>
        </w:rPr>
        <w:t>、建议</w:t>
      </w:r>
      <w:bookmarkEnd w:id="103"/>
      <w:bookmarkEnd w:id="104"/>
    </w:p>
    <w:p w14:paraId="6D430E2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105" w:name="_Toc22341"/>
      <w:bookmarkStart w:id="106" w:name="_Toc2831"/>
      <w:r>
        <w:rPr>
          <w:rFonts w:hint="eastAsia" w:ascii="楷体_GB2312" w:hAnsi="楷体_GB2312" w:eastAsia="楷体_GB2312" w:cs="楷体_GB2312"/>
          <w:b/>
          <w:bCs/>
          <w:kern w:val="0"/>
          <w:sz w:val="32"/>
          <w:szCs w:val="32"/>
          <w:lang w:eastAsia="zh-CN"/>
        </w:rPr>
        <w:t>（一）</w:t>
      </w:r>
      <w:bookmarkStart w:id="107" w:name="_Toc9966"/>
      <w:r>
        <w:rPr>
          <w:rFonts w:hint="eastAsia" w:ascii="楷体_GB2312" w:hAnsi="楷体_GB2312" w:eastAsia="楷体_GB2312" w:cs="楷体_GB2312"/>
          <w:b/>
          <w:bCs/>
          <w:kern w:val="0"/>
          <w:sz w:val="32"/>
          <w:szCs w:val="32"/>
          <w:lang w:eastAsia="zh-CN"/>
        </w:rPr>
        <w:t>加</w:t>
      </w:r>
      <w:r>
        <w:rPr>
          <w:rFonts w:hint="eastAsia" w:ascii="楷体_GB2312" w:hAnsi="楷体_GB2312" w:eastAsia="楷体_GB2312" w:cs="楷体_GB2312"/>
          <w:b/>
          <w:bCs/>
          <w:kern w:val="0"/>
          <w:sz w:val="32"/>
          <w:szCs w:val="32"/>
          <w:lang w:val="en-US" w:eastAsia="zh-CN"/>
        </w:rPr>
        <w:t>快</w:t>
      </w:r>
      <w:r>
        <w:rPr>
          <w:rFonts w:hint="eastAsia" w:ascii="楷体_GB2312" w:hAnsi="楷体_GB2312" w:eastAsia="楷体_GB2312" w:cs="楷体_GB2312"/>
          <w:b/>
          <w:bCs/>
          <w:kern w:val="0"/>
          <w:sz w:val="32"/>
          <w:szCs w:val="32"/>
          <w:lang w:eastAsia="zh-CN"/>
        </w:rPr>
        <w:t>资金</w:t>
      </w:r>
      <w:r>
        <w:rPr>
          <w:rFonts w:hint="eastAsia" w:ascii="楷体_GB2312" w:hAnsi="楷体_GB2312" w:eastAsia="楷体_GB2312" w:cs="楷体_GB2312"/>
          <w:b/>
          <w:bCs/>
          <w:kern w:val="0"/>
          <w:sz w:val="32"/>
          <w:szCs w:val="32"/>
          <w:lang w:val="en-US" w:eastAsia="zh-CN"/>
        </w:rPr>
        <w:t>使用</w:t>
      </w:r>
      <w:r>
        <w:rPr>
          <w:rFonts w:hint="eastAsia" w:ascii="楷体_GB2312" w:hAnsi="楷体_GB2312" w:eastAsia="楷体_GB2312" w:cs="楷体_GB2312"/>
          <w:b/>
          <w:bCs/>
          <w:kern w:val="0"/>
          <w:sz w:val="32"/>
          <w:szCs w:val="32"/>
          <w:lang w:eastAsia="zh-CN"/>
        </w:rPr>
        <w:t>进度</w:t>
      </w:r>
      <w:bookmarkEnd w:id="105"/>
      <w:bookmarkEnd w:id="107"/>
    </w:p>
    <w:p w14:paraId="6FD6F1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单位要在保证</w:t>
      </w:r>
      <w:r>
        <w:rPr>
          <w:rFonts w:hint="eastAsia" w:ascii="仿宋" w:hAnsi="仿宋" w:eastAsia="仿宋" w:cs="仿宋"/>
          <w:kern w:val="0"/>
          <w:sz w:val="32"/>
          <w:szCs w:val="32"/>
          <w:lang w:val="en-US" w:eastAsia="zh-CN"/>
        </w:rPr>
        <w:t>项目实施</w:t>
      </w:r>
      <w:r>
        <w:rPr>
          <w:rFonts w:hint="eastAsia" w:ascii="仿宋" w:hAnsi="仿宋" w:eastAsia="仿宋" w:cs="仿宋"/>
          <w:kern w:val="0"/>
          <w:sz w:val="32"/>
          <w:szCs w:val="32"/>
        </w:rPr>
        <w:t>进度的同时，按照合同约定积极与</w:t>
      </w:r>
      <w:r>
        <w:rPr>
          <w:rFonts w:hint="eastAsia" w:ascii="仿宋" w:hAnsi="仿宋" w:eastAsia="仿宋" w:cs="仿宋"/>
          <w:kern w:val="0"/>
          <w:sz w:val="32"/>
          <w:szCs w:val="32"/>
          <w:lang w:val="en-US" w:eastAsia="zh-CN"/>
        </w:rPr>
        <w:t>服务</w:t>
      </w:r>
      <w:r>
        <w:rPr>
          <w:rFonts w:hint="eastAsia" w:ascii="仿宋" w:hAnsi="仿宋" w:eastAsia="仿宋" w:cs="仿宋"/>
          <w:kern w:val="0"/>
          <w:sz w:val="32"/>
          <w:szCs w:val="32"/>
        </w:rPr>
        <w:t>单位进行</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进度结算，让财政资金的投入进度与项目实际进度保持合理水平。</w:t>
      </w:r>
    </w:p>
    <w:p w14:paraId="5A22B45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108" w:name="_Toc22202"/>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lang w:eastAsia="zh-CN"/>
        </w:rPr>
        <w:t>制定相关制度，加强绩效管理</w:t>
      </w:r>
      <w:bookmarkEnd w:id="106"/>
      <w:bookmarkEnd w:id="108"/>
    </w:p>
    <w:p w14:paraId="7A7E46C2">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项目单位应当根据项目的实际情况，制定相应的管理办法及考核制度，加强项目</w:t>
      </w:r>
      <w:bookmarkStart w:id="111" w:name="_GoBack"/>
      <w:bookmarkEnd w:id="111"/>
      <w:r>
        <w:rPr>
          <w:rFonts w:hint="eastAsia" w:ascii="仿宋" w:hAnsi="仿宋" w:eastAsia="仿宋" w:cs="仿宋"/>
          <w:kern w:val="0"/>
          <w:sz w:val="32"/>
          <w:szCs w:val="32"/>
        </w:rPr>
        <w:t>在实施过程中的监控，及时纠正项目在实施过程</w:t>
      </w:r>
      <w:r>
        <w:rPr>
          <w:rFonts w:hint="eastAsia" w:ascii="仿宋" w:hAnsi="仿宋" w:eastAsia="仿宋" w:cs="仿宋"/>
          <w:kern w:val="0"/>
          <w:sz w:val="32"/>
          <w:szCs w:val="32"/>
          <w:lang w:val="en-US" w:eastAsia="zh-CN"/>
        </w:rPr>
        <w:t>中</w:t>
      </w:r>
      <w:r>
        <w:rPr>
          <w:rFonts w:hint="eastAsia" w:ascii="仿宋" w:hAnsi="仿宋" w:eastAsia="仿宋" w:cs="仿宋"/>
          <w:kern w:val="0"/>
          <w:sz w:val="32"/>
          <w:szCs w:val="32"/>
        </w:rPr>
        <w:t>出现的问题，确保项目绩效目标顺利实现。</w:t>
      </w:r>
      <w:bookmarkStart w:id="109" w:name="_Toc17432"/>
    </w:p>
    <w:p w14:paraId="7B041324">
      <w:pPr>
        <w:spacing w:line="600" w:lineRule="exact"/>
        <w:ind w:firstLine="640" w:firstLineChars="200"/>
        <w:rPr>
          <w:rFonts w:hint="eastAsia" w:ascii="仿宋" w:hAnsi="仿宋" w:eastAsia="仿宋" w:cs="仿宋"/>
          <w:kern w:val="0"/>
          <w:sz w:val="32"/>
          <w:szCs w:val="32"/>
        </w:rPr>
      </w:pPr>
    </w:p>
    <w:p w14:paraId="63BB09C0">
      <w:pPr>
        <w:spacing w:line="600" w:lineRule="exact"/>
        <w:ind w:firstLine="640" w:firstLineChars="200"/>
        <w:outlineLvl w:val="0"/>
        <w:rPr>
          <w:rFonts w:hint="eastAsia" w:ascii="仿宋" w:hAnsi="仿宋" w:eastAsia="仿宋" w:cs="仿宋"/>
          <w:kern w:val="0"/>
          <w:sz w:val="32"/>
          <w:szCs w:val="32"/>
        </w:rPr>
      </w:pPr>
      <w:bookmarkStart w:id="110" w:name="_Toc26859"/>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109"/>
      <w:bookmarkEnd w:id="110"/>
    </w:p>
    <w:bookmarkEnd w:id="82"/>
    <w:bookmarkEnd w:id="83"/>
    <w:bookmarkEnd w:id="84"/>
    <w:bookmarkEnd w:id="85"/>
    <w:bookmarkEnd w:id="86"/>
    <w:bookmarkEnd w:id="87"/>
    <w:bookmarkEnd w:id="88"/>
    <w:bookmarkEnd w:id="89"/>
    <w:p w14:paraId="29A4460D">
      <w:pPr>
        <w:spacing w:line="360" w:lineRule="auto"/>
        <w:rPr>
          <w:rFonts w:ascii="仿宋" w:hAnsi="仿宋" w:eastAsia="仿宋" w:cs="仿宋"/>
          <w:bCs/>
          <w:kern w:val="0"/>
          <w:sz w:val="32"/>
          <w:szCs w:val="32"/>
        </w:rPr>
      </w:pPr>
    </w:p>
    <w:p w14:paraId="7048AA4B">
      <w:pPr>
        <w:spacing w:line="600" w:lineRule="exact"/>
        <w:ind w:left="197" w:firstLine="361" w:firstLineChars="113"/>
        <w:jc w:val="center"/>
        <w:rPr>
          <w:rFonts w:hint="eastAsia" w:ascii="仿宋" w:hAnsi="仿宋" w:eastAsia="仿宋" w:cs="仿宋"/>
          <w:kern w:val="0"/>
          <w:sz w:val="32"/>
          <w:szCs w:val="32"/>
          <w:lang w:val="en-US" w:eastAsia="zh-CN"/>
        </w:rPr>
      </w:pPr>
    </w:p>
    <w:p w14:paraId="5E0ED82F">
      <w:pPr>
        <w:spacing w:line="600" w:lineRule="exact"/>
        <w:ind w:left="197" w:firstLine="361" w:firstLineChars="113"/>
        <w:jc w:val="center"/>
        <w:rPr>
          <w:rFonts w:hint="eastAsia" w:ascii="仿宋" w:hAnsi="仿宋" w:eastAsia="仿宋" w:cs="仿宋"/>
          <w:kern w:val="0"/>
          <w:sz w:val="32"/>
          <w:szCs w:val="32"/>
          <w:lang w:val="en-US" w:eastAsia="zh-CN"/>
        </w:rPr>
      </w:pPr>
    </w:p>
    <w:p w14:paraId="5777DE6A">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5FA332F5">
      <w:pPr>
        <w:spacing w:line="600" w:lineRule="exact"/>
        <w:ind w:left="197" w:firstLine="361" w:firstLineChars="113"/>
        <w:jc w:val="center"/>
        <w:rPr>
          <w:rFonts w:hint="eastAsia" w:ascii="仿宋" w:hAnsi="仿宋" w:eastAsia="仿宋" w:cs="仿宋"/>
          <w:kern w:val="0"/>
          <w:sz w:val="32"/>
          <w:szCs w:val="32"/>
        </w:rPr>
      </w:pPr>
    </w:p>
    <w:p w14:paraId="5D54A79B">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0782F7BA">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p>
    <w:p w14:paraId="6A3921E6">
      <w:pPr>
        <w:spacing w:line="60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163C7C6E">
      <w:pPr>
        <w:jc w:val="center"/>
        <w:rPr>
          <w:rFonts w:hint="eastAsia" w:ascii="仿宋" w:hAnsi="仿宋" w:eastAsia="仿宋" w:cs="仿宋"/>
          <w:kern w:val="0"/>
          <w:sz w:val="32"/>
          <w:szCs w:val="32"/>
          <w:lang w:val="en-US" w:eastAsia="zh-CN"/>
        </w:rPr>
      </w:pPr>
      <w:r>
        <w:rPr>
          <w:rFonts w:hint="default" w:ascii="仿宋" w:hAnsi="仿宋" w:eastAsia="仿宋" w:cs="仿宋"/>
          <w:b/>
          <w:bCs/>
          <w:kern w:val="0"/>
          <w:sz w:val="40"/>
          <w:szCs w:val="40"/>
          <w:lang w:val="en-US" w:eastAsia="zh-CN"/>
        </w:rPr>
        <w:t>职教中心-基础设施改造提升补助绩效评价指标体系打分表</w:t>
      </w:r>
    </w:p>
    <w:tbl>
      <w:tblPr>
        <w:tblStyle w:val="23"/>
        <w:tblW w:w="1389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7"/>
        <w:gridCol w:w="793"/>
        <w:gridCol w:w="662"/>
        <w:gridCol w:w="878"/>
        <w:gridCol w:w="1102"/>
        <w:gridCol w:w="878"/>
        <w:gridCol w:w="892"/>
        <w:gridCol w:w="4635"/>
        <w:gridCol w:w="1110"/>
        <w:gridCol w:w="990"/>
        <w:gridCol w:w="1203"/>
      </w:tblGrid>
      <w:tr w14:paraId="35DD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 w:hRule="atLeast"/>
          <w:tblHeader/>
        </w:trPr>
        <w:tc>
          <w:tcPr>
            <w:tcW w:w="1540" w:type="dxa"/>
            <w:gridSpan w:val="2"/>
            <w:shd w:val="clear" w:color="auto" w:fill="auto"/>
            <w:noWrap/>
            <w:vAlign w:val="center"/>
          </w:tcPr>
          <w:p w14:paraId="18160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540" w:type="dxa"/>
            <w:gridSpan w:val="2"/>
            <w:shd w:val="clear" w:color="auto" w:fill="auto"/>
            <w:noWrap/>
            <w:vAlign w:val="center"/>
          </w:tcPr>
          <w:p w14:paraId="61077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80" w:type="dxa"/>
            <w:gridSpan w:val="2"/>
            <w:shd w:val="clear" w:color="auto" w:fill="auto"/>
            <w:noWrap/>
            <w:vAlign w:val="center"/>
          </w:tcPr>
          <w:p w14:paraId="54742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892" w:type="dxa"/>
            <w:vMerge w:val="restart"/>
            <w:shd w:val="clear" w:color="auto" w:fill="auto"/>
            <w:noWrap/>
            <w:vAlign w:val="center"/>
          </w:tcPr>
          <w:p w14:paraId="7B363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4635" w:type="dxa"/>
            <w:vMerge w:val="restart"/>
            <w:shd w:val="clear" w:color="auto" w:fill="auto"/>
            <w:noWrap/>
            <w:vAlign w:val="center"/>
          </w:tcPr>
          <w:p w14:paraId="03E68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110" w:type="dxa"/>
            <w:vMerge w:val="restart"/>
            <w:shd w:val="clear" w:color="auto" w:fill="auto"/>
            <w:noWrap/>
            <w:vAlign w:val="center"/>
          </w:tcPr>
          <w:p w14:paraId="218E0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990" w:type="dxa"/>
            <w:vMerge w:val="restart"/>
            <w:shd w:val="clear" w:color="auto" w:fill="auto"/>
            <w:noWrap/>
            <w:vAlign w:val="center"/>
          </w:tcPr>
          <w:p w14:paraId="4E909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203" w:type="dxa"/>
            <w:vMerge w:val="restart"/>
            <w:shd w:val="clear" w:color="auto" w:fill="auto"/>
            <w:noWrap/>
            <w:vAlign w:val="center"/>
          </w:tcPr>
          <w:p w14:paraId="54162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6FF5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747" w:type="dxa"/>
            <w:shd w:val="clear" w:color="auto" w:fill="auto"/>
            <w:noWrap/>
            <w:vAlign w:val="center"/>
          </w:tcPr>
          <w:p w14:paraId="0BA8D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93" w:type="dxa"/>
            <w:shd w:val="clear" w:color="auto" w:fill="auto"/>
            <w:noWrap/>
            <w:vAlign w:val="center"/>
          </w:tcPr>
          <w:p w14:paraId="0B43C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62" w:type="dxa"/>
            <w:shd w:val="clear" w:color="auto" w:fill="auto"/>
            <w:noWrap/>
            <w:vAlign w:val="center"/>
          </w:tcPr>
          <w:p w14:paraId="50B37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878" w:type="dxa"/>
            <w:shd w:val="clear" w:color="auto" w:fill="auto"/>
            <w:noWrap/>
            <w:vAlign w:val="center"/>
          </w:tcPr>
          <w:p w14:paraId="78D05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102" w:type="dxa"/>
            <w:shd w:val="clear" w:color="auto" w:fill="auto"/>
            <w:noWrap/>
            <w:vAlign w:val="center"/>
          </w:tcPr>
          <w:p w14:paraId="72E7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878" w:type="dxa"/>
            <w:shd w:val="clear" w:color="auto" w:fill="auto"/>
            <w:noWrap/>
            <w:vAlign w:val="center"/>
          </w:tcPr>
          <w:p w14:paraId="0032F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892" w:type="dxa"/>
            <w:vMerge w:val="continue"/>
            <w:shd w:val="clear" w:color="auto" w:fill="auto"/>
            <w:noWrap/>
            <w:vAlign w:val="center"/>
          </w:tcPr>
          <w:p w14:paraId="2A9BE68E">
            <w:pPr>
              <w:jc w:val="center"/>
              <w:rPr>
                <w:rFonts w:hint="eastAsia" w:ascii="宋体" w:hAnsi="宋体" w:eastAsia="宋体" w:cs="宋体"/>
                <w:i w:val="0"/>
                <w:iCs w:val="0"/>
                <w:color w:val="000000"/>
                <w:sz w:val="22"/>
                <w:szCs w:val="22"/>
                <w:u w:val="none"/>
              </w:rPr>
            </w:pPr>
          </w:p>
        </w:tc>
        <w:tc>
          <w:tcPr>
            <w:tcW w:w="4635" w:type="dxa"/>
            <w:vMerge w:val="continue"/>
            <w:shd w:val="clear" w:color="auto" w:fill="auto"/>
            <w:noWrap/>
            <w:vAlign w:val="center"/>
          </w:tcPr>
          <w:p w14:paraId="5E09C69E">
            <w:pPr>
              <w:jc w:val="center"/>
              <w:rPr>
                <w:rFonts w:hint="eastAsia" w:ascii="宋体" w:hAnsi="宋体" w:eastAsia="宋体" w:cs="宋体"/>
                <w:i w:val="0"/>
                <w:iCs w:val="0"/>
                <w:color w:val="000000"/>
                <w:sz w:val="22"/>
                <w:szCs w:val="22"/>
                <w:u w:val="none"/>
              </w:rPr>
            </w:pPr>
          </w:p>
        </w:tc>
        <w:tc>
          <w:tcPr>
            <w:tcW w:w="1110" w:type="dxa"/>
            <w:vMerge w:val="continue"/>
            <w:shd w:val="clear" w:color="auto" w:fill="auto"/>
            <w:noWrap/>
            <w:vAlign w:val="center"/>
          </w:tcPr>
          <w:p w14:paraId="54C78E61">
            <w:pPr>
              <w:jc w:val="center"/>
              <w:rPr>
                <w:rFonts w:hint="eastAsia" w:ascii="宋体" w:hAnsi="宋体" w:eastAsia="宋体" w:cs="宋体"/>
                <w:i w:val="0"/>
                <w:iCs w:val="0"/>
                <w:color w:val="000000"/>
                <w:sz w:val="22"/>
                <w:szCs w:val="22"/>
                <w:u w:val="none"/>
              </w:rPr>
            </w:pPr>
          </w:p>
        </w:tc>
        <w:tc>
          <w:tcPr>
            <w:tcW w:w="990" w:type="dxa"/>
            <w:vMerge w:val="continue"/>
            <w:shd w:val="clear" w:color="auto" w:fill="auto"/>
            <w:noWrap/>
            <w:vAlign w:val="center"/>
          </w:tcPr>
          <w:p w14:paraId="4665E72E">
            <w:pPr>
              <w:jc w:val="center"/>
              <w:rPr>
                <w:rFonts w:hint="eastAsia" w:ascii="宋体" w:hAnsi="宋体" w:eastAsia="宋体" w:cs="宋体"/>
                <w:i w:val="0"/>
                <w:iCs w:val="0"/>
                <w:color w:val="000000"/>
                <w:sz w:val="22"/>
                <w:szCs w:val="22"/>
                <w:u w:val="none"/>
              </w:rPr>
            </w:pPr>
          </w:p>
        </w:tc>
        <w:tc>
          <w:tcPr>
            <w:tcW w:w="1203" w:type="dxa"/>
            <w:vMerge w:val="continue"/>
            <w:shd w:val="clear" w:color="auto" w:fill="auto"/>
            <w:noWrap/>
            <w:vAlign w:val="center"/>
          </w:tcPr>
          <w:p w14:paraId="2230FAD0">
            <w:pPr>
              <w:jc w:val="center"/>
              <w:rPr>
                <w:rFonts w:hint="eastAsia" w:ascii="宋体" w:hAnsi="宋体" w:eastAsia="宋体" w:cs="宋体"/>
                <w:i w:val="0"/>
                <w:iCs w:val="0"/>
                <w:color w:val="000000"/>
                <w:sz w:val="22"/>
                <w:szCs w:val="22"/>
                <w:u w:val="none"/>
              </w:rPr>
            </w:pPr>
          </w:p>
        </w:tc>
      </w:tr>
      <w:tr w14:paraId="1A2D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restart"/>
            <w:shd w:val="clear" w:color="auto" w:fill="auto"/>
            <w:vAlign w:val="center"/>
          </w:tcPr>
          <w:p w14:paraId="3815C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793" w:type="dxa"/>
            <w:vMerge w:val="restart"/>
            <w:shd w:val="clear" w:color="auto" w:fill="auto"/>
            <w:vAlign w:val="center"/>
          </w:tcPr>
          <w:p w14:paraId="2ED36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2" w:type="dxa"/>
            <w:vMerge w:val="restart"/>
            <w:shd w:val="clear" w:color="auto" w:fill="auto"/>
            <w:vAlign w:val="center"/>
          </w:tcPr>
          <w:p w14:paraId="27B5D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878" w:type="dxa"/>
            <w:vMerge w:val="restart"/>
            <w:shd w:val="clear" w:color="auto" w:fill="auto"/>
            <w:vAlign w:val="center"/>
          </w:tcPr>
          <w:p w14:paraId="6F7AE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2" w:type="dxa"/>
            <w:vMerge w:val="restart"/>
            <w:shd w:val="clear" w:color="auto" w:fill="auto"/>
            <w:vAlign w:val="center"/>
          </w:tcPr>
          <w:p w14:paraId="1694C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878" w:type="dxa"/>
            <w:vMerge w:val="restart"/>
            <w:shd w:val="clear" w:color="auto" w:fill="auto"/>
            <w:vAlign w:val="center"/>
          </w:tcPr>
          <w:p w14:paraId="00ED7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2" w:type="dxa"/>
            <w:shd w:val="clear" w:color="auto" w:fill="auto"/>
            <w:vAlign w:val="center"/>
          </w:tcPr>
          <w:p w14:paraId="3FB68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635" w:type="dxa"/>
            <w:shd w:val="clear" w:color="auto" w:fill="auto"/>
            <w:vAlign w:val="center"/>
          </w:tcPr>
          <w:p w14:paraId="406D5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110" w:type="dxa"/>
            <w:shd w:val="clear" w:color="auto" w:fill="auto"/>
            <w:vAlign w:val="center"/>
          </w:tcPr>
          <w:p w14:paraId="78FBF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181D6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3" w:type="dxa"/>
            <w:vMerge w:val="restart"/>
            <w:shd w:val="clear" w:color="auto" w:fill="auto"/>
            <w:vAlign w:val="center"/>
          </w:tcPr>
          <w:p w14:paraId="72695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5285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469FCA71">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3331718A">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7D5787D3">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4ED12B66">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773BBAA7">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EDD64E7">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190CF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635" w:type="dxa"/>
            <w:shd w:val="clear" w:color="auto" w:fill="auto"/>
            <w:vAlign w:val="center"/>
          </w:tcPr>
          <w:p w14:paraId="4CABC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110" w:type="dxa"/>
            <w:shd w:val="clear" w:color="auto" w:fill="auto"/>
            <w:vAlign w:val="center"/>
          </w:tcPr>
          <w:p w14:paraId="2E627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44300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3" w:type="dxa"/>
            <w:vMerge w:val="continue"/>
            <w:shd w:val="clear" w:color="auto" w:fill="auto"/>
            <w:vAlign w:val="center"/>
          </w:tcPr>
          <w:p w14:paraId="5676FD7D">
            <w:pPr>
              <w:jc w:val="center"/>
              <w:rPr>
                <w:rFonts w:hint="eastAsia" w:ascii="宋体" w:hAnsi="宋体" w:eastAsia="宋体" w:cs="宋体"/>
                <w:i w:val="0"/>
                <w:iCs w:val="0"/>
                <w:color w:val="000000"/>
                <w:sz w:val="22"/>
                <w:szCs w:val="22"/>
                <w:u w:val="none"/>
              </w:rPr>
            </w:pPr>
          </w:p>
        </w:tc>
      </w:tr>
      <w:tr w14:paraId="189F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CC8099F">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3D3AC436">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7C466093">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761CE85">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2DDBBDB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6C14DCC">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2A4B3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635" w:type="dxa"/>
            <w:shd w:val="clear" w:color="auto" w:fill="auto"/>
            <w:vAlign w:val="center"/>
          </w:tcPr>
          <w:p w14:paraId="03A18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110" w:type="dxa"/>
            <w:shd w:val="clear" w:color="auto" w:fill="auto"/>
            <w:vAlign w:val="center"/>
          </w:tcPr>
          <w:p w14:paraId="438FE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7EAAB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3" w:type="dxa"/>
            <w:vMerge w:val="continue"/>
            <w:shd w:val="clear" w:color="auto" w:fill="auto"/>
            <w:vAlign w:val="center"/>
          </w:tcPr>
          <w:p w14:paraId="2EC6EE10">
            <w:pPr>
              <w:jc w:val="center"/>
              <w:rPr>
                <w:rFonts w:hint="eastAsia" w:ascii="宋体" w:hAnsi="宋体" w:eastAsia="宋体" w:cs="宋体"/>
                <w:i w:val="0"/>
                <w:iCs w:val="0"/>
                <w:color w:val="000000"/>
                <w:sz w:val="22"/>
                <w:szCs w:val="22"/>
                <w:u w:val="none"/>
              </w:rPr>
            </w:pPr>
          </w:p>
        </w:tc>
      </w:tr>
      <w:tr w14:paraId="0BAA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0D852D98">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6F84EDCA">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0637C9A0">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7CE861DF">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05AD768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43E929A4">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700BB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635" w:type="dxa"/>
            <w:shd w:val="clear" w:color="auto" w:fill="auto"/>
            <w:vAlign w:val="center"/>
          </w:tcPr>
          <w:p w14:paraId="325CD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110" w:type="dxa"/>
            <w:shd w:val="clear" w:color="auto" w:fill="auto"/>
            <w:vAlign w:val="center"/>
          </w:tcPr>
          <w:p w14:paraId="65683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29861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3" w:type="dxa"/>
            <w:vMerge w:val="continue"/>
            <w:shd w:val="clear" w:color="auto" w:fill="auto"/>
            <w:vAlign w:val="center"/>
          </w:tcPr>
          <w:p w14:paraId="62FC5BE0">
            <w:pPr>
              <w:jc w:val="center"/>
              <w:rPr>
                <w:rFonts w:hint="eastAsia" w:ascii="宋体" w:hAnsi="宋体" w:eastAsia="宋体" w:cs="宋体"/>
                <w:i w:val="0"/>
                <w:iCs w:val="0"/>
                <w:color w:val="000000"/>
                <w:sz w:val="22"/>
                <w:szCs w:val="22"/>
                <w:u w:val="none"/>
              </w:rPr>
            </w:pPr>
          </w:p>
        </w:tc>
      </w:tr>
      <w:tr w14:paraId="3184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5F1A475D">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4EB5BBD1">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64DE06D1">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183E9F0">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635B698F">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150ABFC">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3AAE7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635" w:type="dxa"/>
            <w:shd w:val="clear" w:color="auto" w:fill="auto"/>
            <w:vAlign w:val="center"/>
          </w:tcPr>
          <w:p w14:paraId="02FA3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110" w:type="dxa"/>
            <w:shd w:val="clear" w:color="auto" w:fill="auto"/>
            <w:vAlign w:val="center"/>
          </w:tcPr>
          <w:p w14:paraId="4429C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7329F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3" w:type="dxa"/>
            <w:vMerge w:val="continue"/>
            <w:shd w:val="clear" w:color="auto" w:fill="auto"/>
            <w:vAlign w:val="center"/>
          </w:tcPr>
          <w:p w14:paraId="50771ABC">
            <w:pPr>
              <w:jc w:val="center"/>
              <w:rPr>
                <w:rFonts w:hint="eastAsia" w:ascii="宋体" w:hAnsi="宋体" w:eastAsia="宋体" w:cs="宋体"/>
                <w:i w:val="0"/>
                <w:iCs w:val="0"/>
                <w:color w:val="000000"/>
                <w:sz w:val="22"/>
                <w:szCs w:val="22"/>
                <w:u w:val="none"/>
              </w:rPr>
            </w:pPr>
          </w:p>
        </w:tc>
      </w:tr>
      <w:tr w14:paraId="6F33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A562F52">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42BA9121">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04C01C79">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1E90B7A">
            <w:pPr>
              <w:jc w:val="center"/>
              <w:rPr>
                <w:rFonts w:hint="eastAsia" w:ascii="宋体" w:hAnsi="宋体" w:eastAsia="宋体" w:cs="宋体"/>
                <w:i w:val="0"/>
                <w:iCs w:val="0"/>
                <w:color w:val="000000"/>
                <w:sz w:val="22"/>
                <w:szCs w:val="22"/>
                <w:u w:val="none"/>
              </w:rPr>
            </w:pPr>
          </w:p>
        </w:tc>
        <w:tc>
          <w:tcPr>
            <w:tcW w:w="1102" w:type="dxa"/>
            <w:vMerge w:val="restart"/>
            <w:shd w:val="clear" w:color="auto" w:fill="auto"/>
            <w:vAlign w:val="center"/>
          </w:tcPr>
          <w:p w14:paraId="3AC80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878" w:type="dxa"/>
            <w:vMerge w:val="restart"/>
            <w:shd w:val="clear" w:color="auto" w:fill="auto"/>
            <w:vAlign w:val="center"/>
          </w:tcPr>
          <w:p w14:paraId="3B1F5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2" w:type="dxa"/>
            <w:shd w:val="clear" w:color="auto" w:fill="auto"/>
            <w:vAlign w:val="center"/>
          </w:tcPr>
          <w:p w14:paraId="675B1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1178B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110" w:type="dxa"/>
            <w:shd w:val="clear" w:color="auto" w:fill="auto"/>
            <w:vAlign w:val="center"/>
          </w:tcPr>
          <w:p w14:paraId="0F392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309D8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2754062F">
            <w:pPr>
              <w:jc w:val="center"/>
              <w:rPr>
                <w:rFonts w:hint="eastAsia" w:ascii="宋体" w:hAnsi="宋体" w:eastAsia="宋体" w:cs="宋体"/>
                <w:i w:val="0"/>
                <w:iCs w:val="0"/>
                <w:color w:val="000000"/>
                <w:sz w:val="22"/>
                <w:szCs w:val="22"/>
                <w:u w:val="none"/>
              </w:rPr>
            </w:pPr>
          </w:p>
        </w:tc>
      </w:tr>
      <w:tr w14:paraId="3AE6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08888D1E">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51FF4C2E">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228EAB98">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CE241F1">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21004A8B">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4EEEF2B9">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73BFF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42807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110" w:type="dxa"/>
            <w:shd w:val="clear" w:color="auto" w:fill="auto"/>
            <w:vAlign w:val="center"/>
          </w:tcPr>
          <w:p w14:paraId="061D8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66DA5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16C6840E">
            <w:pPr>
              <w:jc w:val="center"/>
              <w:rPr>
                <w:rFonts w:hint="eastAsia" w:ascii="宋体" w:hAnsi="宋体" w:eastAsia="宋体" w:cs="宋体"/>
                <w:i w:val="0"/>
                <w:iCs w:val="0"/>
                <w:color w:val="000000"/>
                <w:sz w:val="22"/>
                <w:szCs w:val="22"/>
                <w:u w:val="none"/>
              </w:rPr>
            </w:pPr>
          </w:p>
        </w:tc>
      </w:tr>
      <w:tr w14:paraId="4AB3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13FA98D6">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1228407E">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3632F650">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E1F5474">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7AC835BF">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635D47CF">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26128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751E1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110" w:type="dxa"/>
            <w:shd w:val="clear" w:color="auto" w:fill="auto"/>
            <w:vAlign w:val="center"/>
          </w:tcPr>
          <w:p w14:paraId="0E612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6E986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7CFE021E">
            <w:pPr>
              <w:jc w:val="center"/>
              <w:rPr>
                <w:rFonts w:hint="eastAsia" w:ascii="宋体" w:hAnsi="宋体" w:eastAsia="宋体" w:cs="宋体"/>
                <w:i w:val="0"/>
                <w:iCs w:val="0"/>
                <w:color w:val="000000"/>
                <w:sz w:val="22"/>
                <w:szCs w:val="22"/>
                <w:u w:val="none"/>
              </w:rPr>
            </w:pPr>
          </w:p>
        </w:tc>
      </w:tr>
      <w:tr w14:paraId="4D85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3A1B4409">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2CE2DEA8">
            <w:pPr>
              <w:jc w:val="center"/>
              <w:rPr>
                <w:rFonts w:hint="eastAsia" w:ascii="宋体" w:hAnsi="宋体" w:eastAsia="宋体" w:cs="宋体"/>
                <w:i w:val="0"/>
                <w:iCs w:val="0"/>
                <w:color w:val="000000"/>
                <w:sz w:val="22"/>
                <w:szCs w:val="22"/>
                <w:u w:val="none"/>
              </w:rPr>
            </w:pPr>
          </w:p>
        </w:tc>
        <w:tc>
          <w:tcPr>
            <w:tcW w:w="662" w:type="dxa"/>
            <w:vMerge w:val="restart"/>
            <w:shd w:val="clear" w:color="auto" w:fill="auto"/>
            <w:vAlign w:val="center"/>
          </w:tcPr>
          <w:p w14:paraId="75FCC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78" w:type="dxa"/>
            <w:vMerge w:val="restart"/>
            <w:shd w:val="clear" w:color="auto" w:fill="auto"/>
            <w:vAlign w:val="center"/>
          </w:tcPr>
          <w:p w14:paraId="60F10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2" w:type="dxa"/>
            <w:vMerge w:val="restart"/>
            <w:shd w:val="clear" w:color="auto" w:fill="auto"/>
            <w:vAlign w:val="center"/>
          </w:tcPr>
          <w:p w14:paraId="5DA5D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878" w:type="dxa"/>
            <w:vMerge w:val="restart"/>
            <w:shd w:val="clear" w:color="auto" w:fill="auto"/>
            <w:vAlign w:val="center"/>
          </w:tcPr>
          <w:p w14:paraId="63EFB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2" w:type="dxa"/>
            <w:shd w:val="clear" w:color="auto" w:fill="auto"/>
            <w:vAlign w:val="center"/>
          </w:tcPr>
          <w:p w14:paraId="13D10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5D7B2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110" w:type="dxa"/>
            <w:shd w:val="clear" w:color="auto" w:fill="auto"/>
            <w:vAlign w:val="center"/>
          </w:tcPr>
          <w:p w14:paraId="59858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08802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722D766C">
            <w:pPr>
              <w:jc w:val="center"/>
              <w:rPr>
                <w:rFonts w:hint="eastAsia" w:ascii="宋体" w:hAnsi="宋体" w:eastAsia="宋体" w:cs="宋体"/>
                <w:i w:val="0"/>
                <w:iCs w:val="0"/>
                <w:color w:val="000000"/>
                <w:sz w:val="22"/>
                <w:szCs w:val="22"/>
                <w:u w:val="none"/>
              </w:rPr>
            </w:pPr>
          </w:p>
        </w:tc>
      </w:tr>
      <w:tr w14:paraId="5693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646C64E">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3B0BC62C">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64AD9CCF">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75F66FE6">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737392C5">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4C503758">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625EC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6F2FB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110" w:type="dxa"/>
            <w:shd w:val="clear" w:color="auto" w:fill="auto"/>
            <w:vAlign w:val="center"/>
          </w:tcPr>
          <w:p w14:paraId="38F26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4A98D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7651CD3B">
            <w:pPr>
              <w:jc w:val="center"/>
              <w:rPr>
                <w:rFonts w:hint="eastAsia" w:ascii="宋体" w:hAnsi="宋体" w:eastAsia="宋体" w:cs="宋体"/>
                <w:i w:val="0"/>
                <w:iCs w:val="0"/>
                <w:color w:val="000000"/>
                <w:sz w:val="22"/>
                <w:szCs w:val="22"/>
                <w:u w:val="none"/>
              </w:rPr>
            </w:pPr>
          </w:p>
        </w:tc>
      </w:tr>
      <w:tr w14:paraId="6D59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1C9A421E">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753D6E68">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7C03929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6F95AAD8">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248287A8">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5E3A38D1">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2B641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5782C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110" w:type="dxa"/>
            <w:shd w:val="clear" w:color="auto" w:fill="auto"/>
            <w:vAlign w:val="center"/>
          </w:tcPr>
          <w:p w14:paraId="68C75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3578A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14817457">
            <w:pPr>
              <w:jc w:val="center"/>
              <w:rPr>
                <w:rFonts w:hint="eastAsia" w:ascii="宋体" w:hAnsi="宋体" w:eastAsia="宋体" w:cs="宋体"/>
                <w:i w:val="0"/>
                <w:iCs w:val="0"/>
                <w:color w:val="000000"/>
                <w:sz w:val="22"/>
                <w:szCs w:val="22"/>
                <w:u w:val="none"/>
              </w:rPr>
            </w:pPr>
          </w:p>
        </w:tc>
      </w:tr>
      <w:tr w14:paraId="4652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99818D6">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361DE2A9">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68AF6D50">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EFD1456">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75430B9D">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05BFF4A1">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46AEA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60A16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110" w:type="dxa"/>
            <w:shd w:val="clear" w:color="auto" w:fill="auto"/>
            <w:vAlign w:val="center"/>
          </w:tcPr>
          <w:p w14:paraId="08F47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73DF1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4C6C2B21">
            <w:pPr>
              <w:jc w:val="center"/>
              <w:rPr>
                <w:rFonts w:hint="eastAsia" w:ascii="宋体" w:hAnsi="宋体" w:eastAsia="宋体" w:cs="宋体"/>
                <w:i w:val="0"/>
                <w:iCs w:val="0"/>
                <w:color w:val="000000"/>
                <w:sz w:val="22"/>
                <w:szCs w:val="22"/>
                <w:u w:val="none"/>
              </w:rPr>
            </w:pPr>
          </w:p>
        </w:tc>
      </w:tr>
      <w:tr w14:paraId="68C2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EB3A3CB">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7714D0BE">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65AE152A">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624590FE">
            <w:pPr>
              <w:jc w:val="center"/>
              <w:rPr>
                <w:rFonts w:hint="eastAsia" w:ascii="宋体" w:hAnsi="宋体" w:eastAsia="宋体" w:cs="宋体"/>
                <w:i w:val="0"/>
                <w:iCs w:val="0"/>
                <w:color w:val="000000"/>
                <w:sz w:val="22"/>
                <w:szCs w:val="22"/>
                <w:u w:val="none"/>
              </w:rPr>
            </w:pPr>
          </w:p>
        </w:tc>
        <w:tc>
          <w:tcPr>
            <w:tcW w:w="1102" w:type="dxa"/>
            <w:vMerge w:val="restart"/>
            <w:shd w:val="clear" w:color="auto" w:fill="auto"/>
            <w:vAlign w:val="center"/>
          </w:tcPr>
          <w:p w14:paraId="4A700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878" w:type="dxa"/>
            <w:vMerge w:val="restart"/>
            <w:shd w:val="clear" w:color="auto" w:fill="auto"/>
            <w:vAlign w:val="center"/>
          </w:tcPr>
          <w:p w14:paraId="2585F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2" w:type="dxa"/>
            <w:shd w:val="clear" w:color="auto" w:fill="auto"/>
            <w:vAlign w:val="center"/>
          </w:tcPr>
          <w:p w14:paraId="4F575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2C780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110" w:type="dxa"/>
            <w:shd w:val="clear" w:color="auto" w:fill="auto"/>
            <w:vAlign w:val="center"/>
          </w:tcPr>
          <w:p w14:paraId="16EDB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3A897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4B15350B">
            <w:pPr>
              <w:jc w:val="center"/>
              <w:rPr>
                <w:rFonts w:hint="eastAsia" w:ascii="宋体" w:hAnsi="宋体" w:eastAsia="宋体" w:cs="宋体"/>
                <w:i w:val="0"/>
                <w:iCs w:val="0"/>
                <w:color w:val="000000"/>
                <w:sz w:val="22"/>
                <w:szCs w:val="22"/>
                <w:u w:val="none"/>
              </w:rPr>
            </w:pPr>
          </w:p>
        </w:tc>
      </w:tr>
      <w:tr w14:paraId="35F5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19C613C1">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6EB653BA">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04EC4D08">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5693D34">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225778D8">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7FC4A720">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12BCE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5DFCF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110" w:type="dxa"/>
            <w:shd w:val="clear" w:color="auto" w:fill="auto"/>
            <w:vAlign w:val="center"/>
          </w:tcPr>
          <w:p w14:paraId="51382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38FAE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599AD126">
            <w:pPr>
              <w:jc w:val="center"/>
              <w:rPr>
                <w:rFonts w:hint="eastAsia" w:ascii="宋体" w:hAnsi="宋体" w:eastAsia="宋体" w:cs="宋体"/>
                <w:i w:val="0"/>
                <w:iCs w:val="0"/>
                <w:color w:val="000000"/>
                <w:sz w:val="22"/>
                <w:szCs w:val="22"/>
                <w:u w:val="none"/>
              </w:rPr>
            </w:pPr>
          </w:p>
        </w:tc>
      </w:tr>
      <w:tr w14:paraId="1CBE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3DA7A9E4">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780DB2C4">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2001609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51D1D2B2">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5B1D6E15">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80CC448">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05F93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73820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110" w:type="dxa"/>
            <w:shd w:val="clear" w:color="auto" w:fill="auto"/>
            <w:vAlign w:val="center"/>
          </w:tcPr>
          <w:p w14:paraId="760E1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7C0B0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4194B21B">
            <w:pPr>
              <w:jc w:val="center"/>
              <w:rPr>
                <w:rFonts w:hint="eastAsia" w:ascii="宋体" w:hAnsi="宋体" w:eastAsia="宋体" w:cs="宋体"/>
                <w:i w:val="0"/>
                <w:iCs w:val="0"/>
                <w:color w:val="000000"/>
                <w:sz w:val="22"/>
                <w:szCs w:val="22"/>
                <w:u w:val="none"/>
              </w:rPr>
            </w:pPr>
          </w:p>
        </w:tc>
      </w:tr>
      <w:tr w14:paraId="47C3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274FEDEF">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00F3E279">
            <w:pPr>
              <w:jc w:val="center"/>
              <w:rPr>
                <w:rFonts w:hint="eastAsia" w:ascii="宋体" w:hAnsi="宋体" w:eastAsia="宋体" w:cs="宋体"/>
                <w:i w:val="0"/>
                <w:iCs w:val="0"/>
                <w:color w:val="000000"/>
                <w:sz w:val="22"/>
                <w:szCs w:val="22"/>
                <w:u w:val="none"/>
              </w:rPr>
            </w:pPr>
          </w:p>
        </w:tc>
        <w:tc>
          <w:tcPr>
            <w:tcW w:w="662" w:type="dxa"/>
            <w:vMerge w:val="restart"/>
            <w:shd w:val="clear" w:color="auto" w:fill="auto"/>
            <w:vAlign w:val="center"/>
          </w:tcPr>
          <w:p w14:paraId="32B94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878" w:type="dxa"/>
            <w:vMerge w:val="restart"/>
            <w:shd w:val="clear" w:color="auto" w:fill="auto"/>
            <w:vAlign w:val="center"/>
          </w:tcPr>
          <w:p w14:paraId="116FE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2" w:type="dxa"/>
            <w:vMerge w:val="restart"/>
            <w:shd w:val="clear" w:color="auto" w:fill="auto"/>
            <w:vAlign w:val="center"/>
          </w:tcPr>
          <w:p w14:paraId="2BE2B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878" w:type="dxa"/>
            <w:vMerge w:val="restart"/>
            <w:shd w:val="clear" w:color="auto" w:fill="auto"/>
            <w:vAlign w:val="center"/>
          </w:tcPr>
          <w:p w14:paraId="2C19C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2" w:type="dxa"/>
            <w:shd w:val="clear" w:color="auto" w:fill="auto"/>
            <w:vAlign w:val="center"/>
          </w:tcPr>
          <w:p w14:paraId="2DC68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635" w:type="dxa"/>
            <w:shd w:val="clear" w:color="auto" w:fill="auto"/>
            <w:vAlign w:val="center"/>
          </w:tcPr>
          <w:p w14:paraId="7BE48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110" w:type="dxa"/>
            <w:shd w:val="clear" w:color="auto" w:fill="auto"/>
            <w:vAlign w:val="center"/>
          </w:tcPr>
          <w:p w14:paraId="4BF2B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37D99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6AFE228A">
            <w:pPr>
              <w:jc w:val="center"/>
              <w:rPr>
                <w:rFonts w:hint="eastAsia" w:ascii="宋体" w:hAnsi="宋体" w:eastAsia="宋体" w:cs="宋体"/>
                <w:i w:val="0"/>
                <w:iCs w:val="0"/>
                <w:color w:val="000000"/>
                <w:sz w:val="22"/>
                <w:szCs w:val="22"/>
                <w:u w:val="none"/>
              </w:rPr>
            </w:pPr>
          </w:p>
        </w:tc>
      </w:tr>
      <w:tr w14:paraId="4CD8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2E97CE06">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0589AF5A">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09C0FDC6">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519B4C8">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31F011CC">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410CAC5">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64854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635" w:type="dxa"/>
            <w:shd w:val="clear" w:color="auto" w:fill="auto"/>
            <w:vAlign w:val="center"/>
          </w:tcPr>
          <w:p w14:paraId="3526D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110" w:type="dxa"/>
            <w:shd w:val="clear" w:color="auto" w:fill="auto"/>
            <w:vAlign w:val="center"/>
          </w:tcPr>
          <w:p w14:paraId="0FE97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39117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3694E9F4">
            <w:pPr>
              <w:jc w:val="center"/>
              <w:rPr>
                <w:rFonts w:hint="eastAsia" w:ascii="宋体" w:hAnsi="宋体" w:eastAsia="宋体" w:cs="宋体"/>
                <w:i w:val="0"/>
                <w:iCs w:val="0"/>
                <w:color w:val="000000"/>
                <w:sz w:val="22"/>
                <w:szCs w:val="22"/>
                <w:u w:val="none"/>
              </w:rPr>
            </w:pPr>
          </w:p>
        </w:tc>
      </w:tr>
      <w:tr w14:paraId="6CD9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376CFFFB">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4E725A5B">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1F888A70">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79665740">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71AD9BD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DE0062F">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3150C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635" w:type="dxa"/>
            <w:shd w:val="clear" w:color="auto" w:fill="auto"/>
            <w:vAlign w:val="center"/>
          </w:tcPr>
          <w:p w14:paraId="224AA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110" w:type="dxa"/>
            <w:shd w:val="clear" w:color="auto" w:fill="auto"/>
            <w:vAlign w:val="center"/>
          </w:tcPr>
          <w:p w14:paraId="2AC48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3B5E0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219DE003">
            <w:pPr>
              <w:jc w:val="center"/>
              <w:rPr>
                <w:rFonts w:hint="eastAsia" w:ascii="宋体" w:hAnsi="宋体" w:eastAsia="宋体" w:cs="宋体"/>
                <w:i w:val="0"/>
                <w:iCs w:val="0"/>
                <w:color w:val="000000"/>
                <w:sz w:val="22"/>
                <w:szCs w:val="22"/>
                <w:u w:val="none"/>
              </w:rPr>
            </w:pPr>
          </w:p>
        </w:tc>
      </w:tr>
      <w:tr w14:paraId="7A13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04607C2A">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133A80FC">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25C75E1B">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43AC3B0F">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1D67C5B1">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5002071">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7CEE7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635" w:type="dxa"/>
            <w:shd w:val="clear" w:color="auto" w:fill="auto"/>
            <w:vAlign w:val="center"/>
          </w:tcPr>
          <w:p w14:paraId="3B4FE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110" w:type="dxa"/>
            <w:shd w:val="clear" w:color="auto" w:fill="auto"/>
            <w:vAlign w:val="center"/>
          </w:tcPr>
          <w:p w14:paraId="2DB2A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58241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2164965B">
            <w:pPr>
              <w:jc w:val="center"/>
              <w:rPr>
                <w:rFonts w:hint="eastAsia" w:ascii="宋体" w:hAnsi="宋体" w:eastAsia="宋体" w:cs="宋体"/>
                <w:i w:val="0"/>
                <w:iCs w:val="0"/>
                <w:color w:val="000000"/>
                <w:sz w:val="22"/>
                <w:szCs w:val="22"/>
                <w:u w:val="none"/>
              </w:rPr>
            </w:pPr>
          </w:p>
        </w:tc>
      </w:tr>
      <w:tr w14:paraId="0D86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2E712C94">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451288F8">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007DE8ED">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775CA685">
            <w:pPr>
              <w:jc w:val="center"/>
              <w:rPr>
                <w:rFonts w:hint="eastAsia" w:ascii="宋体" w:hAnsi="宋体" w:eastAsia="宋体" w:cs="宋体"/>
                <w:i w:val="0"/>
                <w:iCs w:val="0"/>
                <w:color w:val="000000"/>
                <w:sz w:val="22"/>
                <w:szCs w:val="22"/>
                <w:u w:val="none"/>
              </w:rPr>
            </w:pPr>
          </w:p>
        </w:tc>
        <w:tc>
          <w:tcPr>
            <w:tcW w:w="1102" w:type="dxa"/>
            <w:vMerge w:val="restart"/>
            <w:shd w:val="clear" w:color="auto" w:fill="auto"/>
            <w:vAlign w:val="center"/>
          </w:tcPr>
          <w:p w14:paraId="09FF7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878" w:type="dxa"/>
            <w:vMerge w:val="restart"/>
            <w:shd w:val="clear" w:color="auto" w:fill="auto"/>
            <w:vAlign w:val="center"/>
          </w:tcPr>
          <w:p w14:paraId="412C5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2" w:type="dxa"/>
            <w:shd w:val="clear" w:color="auto" w:fill="auto"/>
            <w:vAlign w:val="center"/>
          </w:tcPr>
          <w:p w14:paraId="1430E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35" w:type="dxa"/>
            <w:shd w:val="clear" w:color="auto" w:fill="auto"/>
            <w:vAlign w:val="center"/>
          </w:tcPr>
          <w:p w14:paraId="6982D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110" w:type="dxa"/>
            <w:shd w:val="clear" w:color="auto" w:fill="auto"/>
            <w:vAlign w:val="center"/>
          </w:tcPr>
          <w:p w14:paraId="7C4E0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7F742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3" w:type="dxa"/>
            <w:vMerge w:val="continue"/>
            <w:shd w:val="clear" w:color="auto" w:fill="auto"/>
            <w:vAlign w:val="center"/>
          </w:tcPr>
          <w:p w14:paraId="07C4319F">
            <w:pPr>
              <w:jc w:val="center"/>
              <w:rPr>
                <w:rFonts w:hint="eastAsia" w:ascii="宋体" w:hAnsi="宋体" w:eastAsia="宋体" w:cs="宋体"/>
                <w:i w:val="0"/>
                <w:iCs w:val="0"/>
                <w:color w:val="000000"/>
                <w:sz w:val="22"/>
                <w:szCs w:val="22"/>
                <w:u w:val="none"/>
              </w:rPr>
            </w:pPr>
          </w:p>
        </w:tc>
      </w:tr>
      <w:tr w14:paraId="70E9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17A9D770">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2DDFF84F">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47446350">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7AE14173">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6D58E5CF">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879C8EA">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24739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35" w:type="dxa"/>
            <w:shd w:val="clear" w:color="auto" w:fill="auto"/>
            <w:vAlign w:val="center"/>
          </w:tcPr>
          <w:p w14:paraId="67044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110" w:type="dxa"/>
            <w:shd w:val="clear" w:color="auto" w:fill="auto"/>
            <w:vAlign w:val="center"/>
          </w:tcPr>
          <w:p w14:paraId="01CF8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52B09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3" w:type="dxa"/>
            <w:vMerge w:val="continue"/>
            <w:shd w:val="clear" w:color="auto" w:fill="auto"/>
            <w:vAlign w:val="center"/>
          </w:tcPr>
          <w:p w14:paraId="79A17E98">
            <w:pPr>
              <w:jc w:val="center"/>
              <w:rPr>
                <w:rFonts w:hint="eastAsia" w:ascii="宋体" w:hAnsi="宋体" w:eastAsia="宋体" w:cs="宋体"/>
                <w:i w:val="0"/>
                <w:iCs w:val="0"/>
                <w:color w:val="000000"/>
                <w:sz w:val="22"/>
                <w:szCs w:val="22"/>
                <w:u w:val="none"/>
              </w:rPr>
            </w:pPr>
          </w:p>
        </w:tc>
      </w:tr>
      <w:tr w14:paraId="0EB2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restart"/>
            <w:shd w:val="clear" w:color="auto" w:fill="auto"/>
            <w:vAlign w:val="center"/>
          </w:tcPr>
          <w:p w14:paraId="43061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793" w:type="dxa"/>
            <w:vMerge w:val="restart"/>
            <w:shd w:val="clear" w:color="auto" w:fill="auto"/>
            <w:vAlign w:val="center"/>
          </w:tcPr>
          <w:p w14:paraId="5B3F4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2" w:type="dxa"/>
            <w:vMerge w:val="restart"/>
            <w:shd w:val="clear" w:color="auto" w:fill="auto"/>
            <w:vAlign w:val="center"/>
          </w:tcPr>
          <w:p w14:paraId="41C97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878" w:type="dxa"/>
            <w:vMerge w:val="restart"/>
            <w:shd w:val="clear" w:color="auto" w:fill="auto"/>
            <w:vAlign w:val="center"/>
          </w:tcPr>
          <w:p w14:paraId="4182E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2" w:type="dxa"/>
            <w:shd w:val="clear" w:color="auto" w:fill="auto"/>
            <w:vAlign w:val="center"/>
          </w:tcPr>
          <w:p w14:paraId="4B8F5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878" w:type="dxa"/>
            <w:shd w:val="clear" w:color="auto" w:fill="auto"/>
            <w:vAlign w:val="center"/>
          </w:tcPr>
          <w:p w14:paraId="6A4E3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2" w:type="dxa"/>
            <w:shd w:val="clear" w:color="auto" w:fill="auto"/>
            <w:vAlign w:val="center"/>
          </w:tcPr>
          <w:p w14:paraId="1BC51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35" w:type="dxa"/>
            <w:shd w:val="clear" w:color="auto" w:fill="auto"/>
            <w:vAlign w:val="center"/>
          </w:tcPr>
          <w:p w14:paraId="4ECF4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110" w:type="dxa"/>
            <w:shd w:val="clear" w:color="auto" w:fill="auto"/>
            <w:vAlign w:val="center"/>
          </w:tcPr>
          <w:p w14:paraId="68C6C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990" w:type="dxa"/>
            <w:shd w:val="clear" w:color="auto" w:fill="auto"/>
            <w:vAlign w:val="center"/>
          </w:tcPr>
          <w:p w14:paraId="7817A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3" w:type="dxa"/>
            <w:vMerge w:val="restart"/>
            <w:shd w:val="clear" w:color="auto" w:fill="auto"/>
            <w:vAlign w:val="center"/>
          </w:tcPr>
          <w:p w14:paraId="10F971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r>
      <w:tr w14:paraId="4023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0FE3DAA1">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71CD5143">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409DFEA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6514F12">
            <w:pPr>
              <w:jc w:val="center"/>
              <w:rPr>
                <w:rFonts w:hint="eastAsia" w:ascii="宋体" w:hAnsi="宋体" w:eastAsia="宋体" w:cs="宋体"/>
                <w:i w:val="0"/>
                <w:iCs w:val="0"/>
                <w:color w:val="000000"/>
                <w:sz w:val="22"/>
                <w:szCs w:val="22"/>
                <w:u w:val="none"/>
              </w:rPr>
            </w:pPr>
          </w:p>
        </w:tc>
        <w:tc>
          <w:tcPr>
            <w:tcW w:w="1102" w:type="dxa"/>
            <w:shd w:val="clear" w:color="auto" w:fill="auto"/>
            <w:vAlign w:val="center"/>
          </w:tcPr>
          <w:p w14:paraId="230D9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878" w:type="dxa"/>
            <w:shd w:val="clear" w:color="auto" w:fill="auto"/>
            <w:vAlign w:val="center"/>
          </w:tcPr>
          <w:p w14:paraId="10795B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92" w:type="dxa"/>
            <w:shd w:val="clear" w:color="auto" w:fill="auto"/>
            <w:vAlign w:val="center"/>
          </w:tcPr>
          <w:p w14:paraId="2D8DAF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635" w:type="dxa"/>
            <w:shd w:val="clear" w:color="auto" w:fill="auto"/>
            <w:vAlign w:val="center"/>
          </w:tcPr>
          <w:p w14:paraId="7BB655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110" w:type="dxa"/>
            <w:shd w:val="clear" w:color="auto" w:fill="auto"/>
            <w:vAlign w:val="center"/>
          </w:tcPr>
          <w:p w14:paraId="2F4D9F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75.98%</w:t>
            </w:r>
          </w:p>
        </w:tc>
        <w:tc>
          <w:tcPr>
            <w:tcW w:w="990" w:type="dxa"/>
            <w:shd w:val="clear" w:color="auto" w:fill="auto"/>
            <w:vAlign w:val="center"/>
          </w:tcPr>
          <w:p w14:paraId="7BBC26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03" w:type="dxa"/>
            <w:vMerge w:val="continue"/>
            <w:shd w:val="clear" w:color="auto" w:fill="auto"/>
            <w:vAlign w:val="center"/>
          </w:tcPr>
          <w:p w14:paraId="30736C0D">
            <w:pPr>
              <w:jc w:val="center"/>
              <w:rPr>
                <w:rFonts w:hint="eastAsia" w:ascii="宋体" w:hAnsi="宋体" w:eastAsia="宋体" w:cs="宋体"/>
                <w:i w:val="0"/>
                <w:iCs w:val="0"/>
                <w:color w:val="000000"/>
                <w:sz w:val="22"/>
                <w:szCs w:val="22"/>
                <w:u w:val="none"/>
              </w:rPr>
            </w:pPr>
          </w:p>
        </w:tc>
      </w:tr>
      <w:tr w14:paraId="3A7A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3E592B8">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5E2F3EEB">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6783CB8A">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FAD18FE">
            <w:pPr>
              <w:jc w:val="center"/>
              <w:rPr>
                <w:rFonts w:hint="eastAsia" w:ascii="宋体" w:hAnsi="宋体" w:eastAsia="宋体" w:cs="宋体"/>
                <w:i w:val="0"/>
                <w:iCs w:val="0"/>
                <w:color w:val="000000"/>
                <w:sz w:val="22"/>
                <w:szCs w:val="22"/>
                <w:u w:val="none"/>
              </w:rPr>
            </w:pPr>
          </w:p>
        </w:tc>
        <w:tc>
          <w:tcPr>
            <w:tcW w:w="1102" w:type="dxa"/>
            <w:vMerge w:val="restart"/>
            <w:shd w:val="clear" w:color="auto" w:fill="auto"/>
            <w:vAlign w:val="center"/>
          </w:tcPr>
          <w:p w14:paraId="30697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878" w:type="dxa"/>
            <w:vMerge w:val="restart"/>
            <w:shd w:val="clear" w:color="auto" w:fill="auto"/>
            <w:vAlign w:val="center"/>
          </w:tcPr>
          <w:p w14:paraId="37A69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2" w:type="dxa"/>
            <w:shd w:val="clear" w:color="auto" w:fill="auto"/>
            <w:vAlign w:val="center"/>
          </w:tcPr>
          <w:p w14:paraId="2D14B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635" w:type="dxa"/>
            <w:shd w:val="clear" w:color="auto" w:fill="auto"/>
            <w:vAlign w:val="center"/>
          </w:tcPr>
          <w:p w14:paraId="60775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110" w:type="dxa"/>
            <w:shd w:val="clear" w:color="auto" w:fill="auto"/>
            <w:vAlign w:val="center"/>
          </w:tcPr>
          <w:p w14:paraId="2C117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24A87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0CB3DAA6">
            <w:pPr>
              <w:jc w:val="center"/>
              <w:rPr>
                <w:rFonts w:hint="eastAsia" w:ascii="宋体" w:hAnsi="宋体" w:eastAsia="宋体" w:cs="宋体"/>
                <w:i w:val="0"/>
                <w:iCs w:val="0"/>
                <w:color w:val="000000"/>
                <w:sz w:val="22"/>
                <w:szCs w:val="22"/>
                <w:u w:val="none"/>
              </w:rPr>
            </w:pPr>
          </w:p>
        </w:tc>
      </w:tr>
      <w:tr w14:paraId="7700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5F076058">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013BD0F5">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6FE52EB7">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01118A58">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4B1E8751">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AC38629">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6D0FB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635" w:type="dxa"/>
            <w:shd w:val="clear" w:color="auto" w:fill="auto"/>
            <w:vAlign w:val="center"/>
          </w:tcPr>
          <w:p w14:paraId="5AEC6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110" w:type="dxa"/>
            <w:shd w:val="clear" w:color="auto" w:fill="auto"/>
            <w:vAlign w:val="center"/>
          </w:tcPr>
          <w:p w14:paraId="5A8C1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48275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52230DB3">
            <w:pPr>
              <w:jc w:val="center"/>
              <w:rPr>
                <w:rFonts w:hint="eastAsia" w:ascii="宋体" w:hAnsi="宋体" w:eastAsia="宋体" w:cs="宋体"/>
                <w:i w:val="0"/>
                <w:iCs w:val="0"/>
                <w:color w:val="000000"/>
                <w:sz w:val="22"/>
                <w:szCs w:val="22"/>
                <w:u w:val="none"/>
              </w:rPr>
            </w:pPr>
          </w:p>
        </w:tc>
      </w:tr>
      <w:tr w14:paraId="3679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1884F96A">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7B43B104">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0DC7609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D2B6173">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24D5FC5E">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4BC57A88">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7B53E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635" w:type="dxa"/>
            <w:shd w:val="clear" w:color="auto" w:fill="auto"/>
            <w:vAlign w:val="center"/>
          </w:tcPr>
          <w:p w14:paraId="7F27A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110" w:type="dxa"/>
            <w:shd w:val="clear" w:color="auto" w:fill="auto"/>
            <w:vAlign w:val="center"/>
          </w:tcPr>
          <w:p w14:paraId="58209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75D4B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32305B3A">
            <w:pPr>
              <w:jc w:val="center"/>
              <w:rPr>
                <w:rFonts w:hint="eastAsia" w:ascii="宋体" w:hAnsi="宋体" w:eastAsia="宋体" w:cs="宋体"/>
                <w:i w:val="0"/>
                <w:iCs w:val="0"/>
                <w:color w:val="000000"/>
                <w:sz w:val="22"/>
                <w:szCs w:val="22"/>
                <w:u w:val="none"/>
              </w:rPr>
            </w:pPr>
          </w:p>
        </w:tc>
      </w:tr>
      <w:tr w14:paraId="5E92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C4FF6AD">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49ED2E4F">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46249E1F">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E541C97">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3B36F1DC">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5B2DC12">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0CC0F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635" w:type="dxa"/>
            <w:shd w:val="clear" w:color="auto" w:fill="auto"/>
            <w:vAlign w:val="center"/>
          </w:tcPr>
          <w:p w14:paraId="06AB5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110" w:type="dxa"/>
            <w:shd w:val="clear" w:color="auto" w:fill="auto"/>
            <w:vAlign w:val="center"/>
          </w:tcPr>
          <w:p w14:paraId="38341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7FC86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13A6D19E">
            <w:pPr>
              <w:jc w:val="center"/>
              <w:rPr>
                <w:rFonts w:hint="eastAsia" w:ascii="宋体" w:hAnsi="宋体" w:eastAsia="宋体" w:cs="宋体"/>
                <w:i w:val="0"/>
                <w:iCs w:val="0"/>
                <w:color w:val="000000"/>
                <w:sz w:val="22"/>
                <w:szCs w:val="22"/>
                <w:u w:val="none"/>
              </w:rPr>
            </w:pPr>
          </w:p>
        </w:tc>
      </w:tr>
      <w:tr w14:paraId="73E0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252FCB3">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3A4C33B0">
            <w:pPr>
              <w:jc w:val="center"/>
              <w:rPr>
                <w:rFonts w:hint="eastAsia" w:ascii="宋体" w:hAnsi="宋体" w:eastAsia="宋体" w:cs="宋体"/>
                <w:i w:val="0"/>
                <w:iCs w:val="0"/>
                <w:color w:val="000000"/>
                <w:sz w:val="22"/>
                <w:szCs w:val="22"/>
                <w:u w:val="none"/>
              </w:rPr>
            </w:pPr>
          </w:p>
        </w:tc>
        <w:tc>
          <w:tcPr>
            <w:tcW w:w="662" w:type="dxa"/>
            <w:vMerge w:val="restart"/>
            <w:shd w:val="clear" w:color="auto" w:fill="auto"/>
            <w:vAlign w:val="center"/>
          </w:tcPr>
          <w:p w14:paraId="3CC72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878" w:type="dxa"/>
            <w:vMerge w:val="restart"/>
            <w:shd w:val="clear" w:color="auto" w:fill="auto"/>
            <w:vAlign w:val="center"/>
          </w:tcPr>
          <w:p w14:paraId="58AFA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2" w:type="dxa"/>
            <w:vMerge w:val="restart"/>
            <w:shd w:val="clear" w:color="auto" w:fill="auto"/>
            <w:vAlign w:val="center"/>
          </w:tcPr>
          <w:p w14:paraId="7DE05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878" w:type="dxa"/>
            <w:vMerge w:val="restart"/>
            <w:shd w:val="clear" w:color="auto" w:fill="auto"/>
            <w:vAlign w:val="center"/>
          </w:tcPr>
          <w:p w14:paraId="345B7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2" w:type="dxa"/>
            <w:shd w:val="clear" w:color="auto" w:fill="auto"/>
            <w:vAlign w:val="center"/>
          </w:tcPr>
          <w:p w14:paraId="4616C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5F3FF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110" w:type="dxa"/>
            <w:shd w:val="clear" w:color="auto" w:fill="auto"/>
            <w:vAlign w:val="center"/>
          </w:tcPr>
          <w:p w14:paraId="48F2F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597C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2DC26D41">
            <w:pPr>
              <w:jc w:val="center"/>
              <w:rPr>
                <w:rFonts w:hint="eastAsia" w:ascii="宋体" w:hAnsi="宋体" w:eastAsia="宋体" w:cs="宋体"/>
                <w:i w:val="0"/>
                <w:iCs w:val="0"/>
                <w:color w:val="000000"/>
                <w:sz w:val="22"/>
                <w:szCs w:val="22"/>
                <w:u w:val="none"/>
              </w:rPr>
            </w:pPr>
          </w:p>
        </w:tc>
      </w:tr>
      <w:tr w14:paraId="3406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062FA209">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569F451B">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30041E69">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7CF8E7FE">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6669410F">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CB5EEA6">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75B77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0BCC4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110" w:type="dxa"/>
            <w:shd w:val="clear" w:color="auto" w:fill="auto"/>
            <w:vAlign w:val="center"/>
          </w:tcPr>
          <w:p w14:paraId="0E211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74C73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43A22F64">
            <w:pPr>
              <w:jc w:val="center"/>
              <w:rPr>
                <w:rFonts w:hint="eastAsia" w:ascii="宋体" w:hAnsi="宋体" w:eastAsia="宋体" w:cs="宋体"/>
                <w:i w:val="0"/>
                <w:iCs w:val="0"/>
                <w:color w:val="000000"/>
                <w:sz w:val="22"/>
                <w:szCs w:val="22"/>
                <w:u w:val="none"/>
              </w:rPr>
            </w:pPr>
          </w:p>
        </w:tc>
      </w:tr>
      <w:tr w14:paraId="5C61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31223AF3">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5A5D1944">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23A14B99">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57F34902">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366B77A5">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AC71BA5">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71047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0A1B2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110" w:type="dxa"/>
            <w:shd w:val="clear" w:color="auto" w:fill="auto"/>
            <w:vAlign w:val="center"/>
          </w:tcPr>
          <w:p w14:paraId="235F2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2ECB0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7E939F14">
            <w:pPr>
              <w:jc w:val="center"/>
              <w:rPr>
                <w:rFonts w:hint="eastAsia" w:ascii="宋体" w:hAnsi="宋体" w:eastAsia="宋体" w:cs="宋体"/>
                <w:i w:val="0"/>
                <w:iCs w:val="0"/>
                <w:color w:val="000000"/>
                <w:sz w:val="22"/>
                <w:szCs w:val="22"/>
                <w:u w:val="none"/>
              </w:rPr>
            </w:pPr>
          </w:p>
        </w:tc>
      </w:tr>
      <w:tr w14:paraId="5DD7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5AC7F3D">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0AF79C68">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77699C4E">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6E7D1B6">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02582561">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5EB5D3B">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13676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6FBFE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110" w:type="dxa"/>
            <w:shd w:val="clear" w:color="auto" w:fill="auto"/>
            <w:vAlign w:val="center"/>
          </w:tcPr>
          <w:p w14:paraId="149B4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715F2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11C83300">
            <w:pPr>
              <w:jc w:val="center"/>
              <w:rPr>
                <w:rFonts w:hint="eastAsia" w:ascii="宋体" w:hAnsi="宋体" w:eastAsia="宋体" w:cs="宋体"/>
                <w:i w:val="0"/>
                <w:iCs w:val="0"/>
                <w:color w:val="000000"/>
                <w:sz w:val="22"/>
                <w:szCs w:val="22"/>
                <w:u w:val="none"/>
              </w:rPr>
            </w:pPr>
          </w:p>
        </w:tc>
      </w:tr>
      <w:tr w14:paraId="1307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854F57D">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190B4F3E">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76D4B58B">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DD327B1">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1C2CA74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4E7D3776">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7F3C7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67263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110" w:type="dxa"/>
            <w:shd w:val="clear" w:color="auto" w:fill="auto"/>
            <w:vAlign w:val="center"/>
          </w:tcPr>
          <w:p w14:paraId="77425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1E72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3" w:type="dxa"/>
            <w:vMerge w:val="continue"/>
            <w:shd w:val="clear" w:color="auto" w:fill="auto"/>
            <w:vAlign w:val="center"/>
          </w:tcPr>
          <w:p w14:paraId="2DC4C522">
            <w:pPr>
              <w:jc w:val="center"/>
              <w:rPr>
                <w:rFonts w:hint="eastAsia" w:ascii="宋体" w:hAnsi="宋体" w:eastAsia="宋体" w:cs="宋体"/>
                <w:i w:val="0"/>
                <w:iCs w:val="0"/>
                <w:color w:val="000000"/>
                <w:sz w:val="22"/>
                <w:szCs w:val="22"/>
                <w:u w:val="none"/>
              </w:rPr>
            </w:pPr>
          </w:p>
        </w:tc>
      </w:tr>
      <w:tr w14:paraId="704D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6794AA0C">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5F2740D3">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51A856FF">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50D71409">
            <w:pPr>
              <w:jc w:val="center"/>
              <w:rPr>
                <w:rFonts w:hint="eastAsia" w:ascii="宋体" w:hAnsi="宋体" w:eastAsia="宋体" w:cs="宋体"/>
                <w:i w:val="0"/>
                <w:iCs w:val="0"/>
                <w:color w:val="000000"/>
                <w:sz w:val="22"/>
                <w:szCs w:val="22"/>
                <w:u w:val="none"/>
              </w:rPr>
            </w:pPr>
          </w:p>
        </w:tc>
        <w:tc>
          <w:tcPr>
            <w:tcW w:w="1102" w:type="dxa"/>
            <w:vMerge w:val="restart"/>
            <w:shd w:val="clear" w:color="auto" w:fill="auto"/>
            <w:vAlign w:val="center"/>
          </w:tcPr>
          <w:p w14:paraId="1AA46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878" w:type="dxa"/>
            <w:vMerge w:val="restart"/>
            <w:shd w:val="clear" w:color="auto" w:fill="auto"/>
            <w:vAlign w:val="center"/>
          </w:tcPr>
          <w:p w14:paraId="22533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2" w:type="dxa"/>
            <w:shd w:val="clear" w:color="auto" w:fill="auto"/>
            <w:vAlign w:val="center"/>
          </w:tcPr>
          <w:p w14:paraId="6DFDD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4FEAC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110" w:type="dxa"/>
            <w:shd w:val="clear" w:color="auto" w:fill="auto"/>
            <w:vAlign w:val="center"/>
          </w:tcPr>
          <w:p w14:paraId="68D46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0" w:type="dxa"/>
            <w:shd w:val="clear" w:color="auto" w:fill="auto"/>
            <w:vAlign w:val="center"/>
          </w:tcPr>
          <w:p w14:paraId="6D0AA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35F0E091">
            <w:pPr>
              <w:jc w:val="center"/>
              <w:rPr>
                <w:rFonts w:hint="eastAsia" w:ascii="宋体" w:hAnsi="宋体" w:eastAsia="宋体" w:cs="宋体"/>
                <w:i w:val="0"/>
                <w:iCs w:val="0"/>
                <w:color w:val="000000"/>
                <w:sz w:val="22"/>
                <w:szCs w:val="22"/>
                <w:u w:val="none"/>
              </w:rPr>
            </w:pPr>
          </w:p>
        </w:tc>
      </w:tr>
      <w:tr w14:paraId="175A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03ED502E">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1E982F27">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4D752063">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61B15285">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5373EEB8">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76A0961">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69307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5" w:type="dxa"/>
            <w:shd w:val="clear" w:color="auto" w:fill="auto"/>
            <w:vAlign w:val="center"/>
          </w:tcPr>
          <w:p w14:paraId="6A56A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110" w:type="dxa"/>
            <w:shd w:val="clear" w:color="auto" w:fill="auto"/>
            <w:vAlign w:val="center"/>
          </w:tcPr>
          <w:p w14:paraId="7F578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0" w:type="dxa"/>
            <w:shd w:val="clear" w:color="auto" w:fill="auto"/>
            <w:vAlign w:val="center"/>
          </w:tcPr>
          <w:p w14:paraId="35884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3" w:type="dxa"/>
            <w:vMerge w:val="continue"/>
            <w:shd w:val="clear" w:color="auto" w:fill="auto"/>
            <w:vAlign w:val="center"/>
          </w:tcPr>
          <w:p w14:paraId="02EF8CB2">
            <w:pPr>
              <w:jc w:val="center"/>
              <w:rPr>
                <w:rFonts w:hint="eastAsia" w:ascii="宋体" w:hAnsi="宋体" w:eastAsia="宋体" w:cs="宋体"/>
                <w:i w:val="0"/>
                <w:iCs w:val="0"/>
                <w:color w:val="000000"/>
                <w:sz w:val="22"/>
                <w:szCs w:val="22"/>
                <w:u w:val="none"/>
              </w:rPr>
            </w:pPr>
          </w:p>
        </w:tc>
      </w:tr>
      <w:tr w14:paraId="1D01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1DA251F9">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45C79F4A">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4BD3896E">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2F4049A">
            <w:pPr>
              <w:jc w:val="center"/>
              <w:rPr>
                <w:rFonts w:hint="eastAsia" w:ascii="宋体" w:hAnsi="宋体" w:eastAsia="宋体" w:cs="宋体"/>
                <w:i w:val="0"/>
                <w:iCs w:val="0"/>
                <w:color w:val="000000"/>
                <w:sz w:val="22"/>
                <w:szCs w:val="22"/>
                <w:u w:val="none"/>
              </w:rPr>
            </w:pPr>
          </w:p>
        </w:tc>
        <w:tc>
          <w:tcPr>
            <w:tcW w:w="1102" w:type="dxa"/>
            <w:vMerge w:val="restart"/>
            <w:shd w:val="clear" w:color="auto" w:fill="auto"/>
            <w:vAlign w:val="center"/>
          </w:tcPr>
          <w:p w14:paraId="0DDED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878" w:type="dxa"/>
            <w:vMerge w:val="restart"/>
            <w:shd w:val="clear" w:color="auto" w:fill="auto"/>
            <w:vAlign w:val="center"/>
          </w:tcPr>
          <w:p w14:paraId="11BB5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2" w:type="dxa"/>
            <w:shd w:val="clear" w:color="auto" w:fill="auto"/>
            <w:vAlign w:val="center"/>
          </w:tcPr>
          <w:p w14:paraId="25E0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35" w:type="dxa"/>
            <w:shd w:val="clear" w:color="auto" w:fill="auto"/>
            <w:vAlign w:val="center"/>
          </w:tcPr>
          <w:p w14:paraId="23FA0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110" w:type="dxa"/>
            <w:shd w:val="clear" w:color="auto" w:fill="auto"/>
            <w:vAlign w:val="center"/>
          </w:tcPr>
          <w:p w14:paraId="1B619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6AC99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3" w:type="dxa"/>
            <w:vMerge w:val="continue"/>
            <w:shd w:val="clear" w:color="auto" w:fill="auto"/>
            <w:vAlign w:val="center"/>
          </w:tcPr>
          <w:p w14:paraId="1C3E6FF0">
            <w:pPr>
              <w:jc w:val="center"/>
              <w:rPr>
                <w:rFonts w:hint="eastAsia" w:ascii="宋体" w:hAnsi="宋体" w:eastAsia="宋体" w:cs="宋体"/>
                <w:i w:val="0"/>
                <w:iCs w:val="0"/>
                <w:color w:val="000000"/>
                <w:sz w:val="22"/>
                <w:szCs w:val="22"/>
                <w:u w:val="none"/>
              </w:rPr>
            </w:pPr>
          </w:p>
        </w:tc>
      </w:tr>
      <w:tr w14:paraId="455B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1D08B64E">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5C72779F">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5E345B0A">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677D51C1">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170B4E4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359A0E12">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5420F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35" w:type="dxa"/>
            <w:shd w:val="clear" w:color="auto" w:fill="auto"/>
            <w:vAlign w:val="center"/>
          </w:tcPr>
          <w:p w14:paraId="59F92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110" w:type="dxa"/>
            <w:shd w:val="clear" w:color="auto" w:fill="auto"/>
            <w:vAlign w:val="center"/>
          </w:tcPr>
          <w:p w14:paraId="5D85C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0A1EC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3" w:type="dxa"/>
            <w:vMerge w:val="continue"/>
            <w:shd w:val="clear" w:color="auto" w:fill="auto"/>
            <w:vAlign w:val="center"/>
          </w:tcPr>
          <w:p w14:paraId="55349AE5">
            <w:pPr>
              <w:jc w:val="center"/>
              <w:rPr>
                <w:rFonts w:hint="eastAsia" w:ascii="宋体" w:hAnsi="宋体" w:eastAsia="宋体" w:cs="宋体"/>
                <w:i w:val="0"/>
                <w:iCs w:val="0"/>
                <w:color w:val="000000"/>
                <w:sz w:val="22"/>
                <w:szCs w:val="22"/>
                <w:u w:val="none"/>
              </w:rPr>
            </w:pPr>
          </w:p>
        </w:tc>
      </w:tr>
      <w:tr w14:paraId="31E8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restart"/>
            <w:shd w:val="clear" w:color="auto" w:fill="auto"/>
            <w:vAlign w:val="center"/>
          </w:tcPr>
          <w:p w14:paraId="1063C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vMerge w:val="restart"/>
            <w:shd w:val="clear" w:color="auto" w:fill="auto"/>
            <w:vAlign w:val="center"/>
          </w:tcPr>
          <w:p w14:paraId="16E29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2" w:type="dxa"/>
            <w:shd w:val="clear" w:color="auto" w:fill="auto"/>
            <w:vAlign w:val="center"/>
          </w:tcPr>
          <w:p w14:paraId="2926C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878" w:type="dxa"/>
            <w:shd w:val="clear" w:color="auto" w:fill="auto"/>
            <w:vAlign w:val="center"/>
          </w:tcPr>
          <w:p w14:paraId="3359E3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02" w:type="dxa"/>
            <w:shd w:val="clear" w:color="auto" w:fill="auto"/>
            <w:vAlign w:val="center"/>
          </w:tcPr>
          <w:p w14:paraId="6314CD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职教中心-基础设施改造提升补助实际完成率</w:t>
            </w:r>
          </w:p>
        </w:tc>
        <w:tc>
          <w:tcPr>
            <w:tcW w:w="878" w:type="dxa"/>
            <w:shd w:val="clear" w:color="auto" w:fill="auto"/>
            <w:vAlign w:val="center"/>
          </w:tcPr>
          <w:p w14:paraId="1CB0FC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892" w:type="dxa"/>
            <w:shd w:val="clear" w:color="auto" w:fill="auto"/>
            <w:vAlign w:val="center"/>
          </w:tcPr>
          <w:p w14:paraId="4CA6ED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635" w:type="dxa"/>
            <w:shd w:val="clear" w:color="auto" w:fill="auto"/>
            <w:vAlign w:val="center"/>
          </w:tcPr>
          <w:p w14:paraId="3174DEC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黑板购置,课桌椅更换,教学综合楼广播、网络、监控安装，计算机应用专业实训室建设,电子商务专业实训室建设，实际完成率：按照{已完成工作进度}/{计划工作进度}*100%得出指标值，按照（指标值-（60%））/（（100%）-（60%））× 赋分值得分。</w:t>
            </w:r>
          </w:p>
        </w:tc>
        <w:tc>
          <w:tcPr>
            <w:tcW w:w="1110" w:type="dxa"/>
            <w:shd w:val="clear" w:color="auto" w:fill="auto"/>
            <w:vAlign w:val="center"/>
          </w:tcPr>
          <w:p w14:paraId="7949E6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shd w:val="clear" w:color="auto" w:fill="auto"/>
            <w:vAlign w:val="center"/>
          </w:tcPr>
          <w:p w14:paraId="7D917E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03" w:type="dxa"/>
            <w:vMerge w:val="restart"/>
            <w:shd w:val="clear" w:color="auto" w:fill="auto"/>
            <w:vAlign w:val="center"/>
          </w:tcPr>
          <w:p w14:paraId="2FE652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1D76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35335322">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27EEB0D7">
            <w:pPr>
              <w:jc w:val="center"/>
              <w:rPr>
                <w:rFonts w:hint="eastAsia" w:ascii="宋体" w:hAnsi="宋体" w:eastAsia="宋体" w:cs="宋体"/>
                <w:i w:val="0"/>
                <w:iCs w:val="0"/>
                <w:color w:val="000000"/>
                <w:sz w:val="22"/>
                <w:szCs w:val="22"/>
                <w:u w:val="none"/>
              </w:rPr>
            </w:pPr>
          </w:p>
        </w:tc>
        <w:tc>
          <w:tcPr>
            <w:tcW w:w="662" w:type="dxa"/>
            <w:shd w:val="clear" w:color="auto" w:fill="auto"/>
            <w:vAlign w:val="center"/>
          </w:tcPr>
          <w:p w14:paraId="24286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8" w:type="dxa"/>
            <w:shd w:val="clear" w:color="auto" w:fill="auto"/>
            <w:vAlign w:val="center"/>
          </w:tcPr>
          <w:p w14:paraId="04804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2" w:type="dxa"/>
            <w:shd w:val="clear" w:color="auto" w:fill="auto"/>
            <w:vAlign w:val="center"/>
          </w:tcPr>
          <w:p w14:paraId="654EB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职教中心-基础设施改造提升补助质量合格率</w:t>
            </w:r>
          </w:p>
        </w:tc>
        <w:tc>
          <w:tcPr>
            <w:tcW w:w="878" w:type="dxa"/>
            <w:shd w:val="clear" w:color="auto" w:fill="auto"/>
            <w:vAlign w:val="center"/>
          </w:tcPr>
          <w:p w14:paraId="6AE68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92" w:type="dxa"/>
            <w:shd w:val="clear" w:color="auto" w:fill="auto"/>
            <w:vAlign w:val="center"/>
          </w:tcPr>
          <w:p w14:paraId="27F08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35" w:type="dxa"/>
            <w:shd w:val="clear" w:color="auto" w:fill="auto"/>
            <w:vAlign w:val="center"/>
          </w:tcPr>
          <w:p w14:paraId="296E4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智慧黑板购置,课桌椅更换,教学综合楼广播、网络、监控安装，计算机应用专业实训室建设,电子商务专业实训室建设，质量达标率 ：按照{经费项目质量达标项目数}/1*100%得出指标值，按照（指标值-（60%））/（（100%）-（60%））× 赋分值得分。</w:t>
            </w:r>
          </w:p>
        </w:tc>
        <w:tc>
          <w:tcPr>
            <w:tcW w:w="1110" w:type="dxa"/>
            <w:shd w:val="clear" w:color="auto" w:fill="auto"/>
            <w:vAlign w:val="center"/>
          </w:tcPr>
          <w:p w14:paraId="7250C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shd w:val="clear" w:color="auto" w:fill="auto"/>
            <w:vAlign w:val="center"/>
          </w:tcPr>
          <w:p w14:paraId="084B4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3" w:type="dxa"/>
            <w:vMerge w:val="continue"/>
            <w:shd w:val="clear" w:color="auto" w:fill="auto"/>
            <w:vAlign w:val="center"/>
          </w:tcPr>
          <w:p w14:paraId="5D135B15">
            <w:pPr>
              <w:jc w:val="center"/>
              <w:rPr>
                <w:rFonts w:hint="eastAsia" w:ascii="宋体" w:hAnsi="宋体" w:eastAsia="宋体" w:cs="宋体"/>
                <w:i w:val="0"/>
                <w:iCs w:val="0"/>
                <w:color w:val="000000"/>
                <w:sz w:val="22"/>
                <w:szCs w:val="22"/>
                <w:u w:val="none"/>
              </w:rPr>
            </w:pPr>
          </w:p>
        </w:tc>
      </w:tr>
      <w:tr w14:paraId="7542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261A14CB">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62F9A69A">
            <w:pPr>
              <w:jc w:val="center"/>
              <w:rPr>
                <w:rFonts w:hint="eastAsia" w:ascii="宋体" w:hAnsi="宋体" w:eastAsia="宋体" w:cs="宋体"/>
                <w:i w:val="0"/>
                <w:iCs w:val="0"/>
                <w:color w:val="000000"/>
                <w:sz w:val="22"/>
                <w:szCs w:val="22"/>
                <w:u w:val="none"/>
              </w:rPr>
            </w:pPr>
          </w:p>
        </w:tc>
        <w:tc>
          <w:tcPr>
            <w:tcW w:w="662" w:type="dxa"/>
            <w:shd w:val="clear" w:color="auto" w:fill="auto"/>
            <w:vAlign w:val="center"/>
          </w:tcPr>
          <w:p w14:paraId="2DE0EC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878" w:type="dxa"/>
            <w:shd w:val="clear" w:color="auto" w:fill="auto"/>
            <w:vAlign w:val="center"/>
          </w:tcPr>
          <w:p w14:paraId="62FF59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02" w:type="dxa"/>
            <w:shd w:val="clear" w:color="auto" w:fill="auto"/>
            <w:vAlign w:val="center"/>
          </w:tcPr>
          <w:p w14:paraId="0089E3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职教中心-基础设施改造提升补助完成及时率</w:t>
            </w:r>
          </w:p>
        </w:tc>
        <w:tc>
          <w:tcPr>
            <w:tcW w:w="878" w:type="dxa"/>
            <w:shd w:val="clear" w:color="auto" w:fill="auto"/>
            <w:vAlign w:val="center"/>
          </w:tcPr>
          <w:p w14:paraId="55B1D9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892" w:type="dxa"/>
            <w:shd w:val="clear" w:color="auto" w:fill="auto"/>
            <w:vAlign w:val="center"/>
          </w:tcPr>
          <w:p w14:paraId="2067F3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635" w:type="dxa"/>
            <w:shd w:val="clear" w:color="auto" w:fill="auto"/>
            <w:vAlign w:val="center"/>
          </w:tcPr>
          <w:p w14:paraId="490EED1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黑板购置,课桌椅更换,教学综合楼广播、网络、监控安装，计算机应用专业实训室建设,电子商务专业实训室建设，完成及时率：按照{已完成工作进度}/{计划工作进度}*100%得出指标值，按照（指标值-（60%））/（（100%）-（60%））× 赋分值得分。</w:t>
            </w:r>
          </w:p>
        </w:tc>
        <w:tc>
          <w:tcPr>
            <w:tcW w:w="1110" w:type="dxa"/>
            <w:shd w:val="clear" w:color="auto" w:fill="auto"/>
            <w:vAlign w:val="center"/>
          </w:tcPr>
          <w:p w14:paraId="6A00FC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shd w:val="clear" w:color="auto" w:fill="auto"/>
            <w:vAlign w:val="center"/>
          </w:tcPr>
          <w:p w14:paraId="523D17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03" w:type="dxa"/>
            <w:vMerge w:val="continue"/>
            <w:shd w:val="clear" w:color="auto" w:fill="auto"/>
            <w:vAlign w:val="center"/>
          </w:tcPr>
          <w:p w14:paraId="3EEE48EF">
            <w:pPr>
              <w:jc w:val="center"/>
              <w:rPr>
                <w:rFonts w:hint="eastAsia" w:ascii="宋体" w:hAnsi="宋体" w:eastAsia="宋体" w:cs="宋体"/>
                <w:i w:val="0"/>
                <w:iCs w:val="0"/>
                <w:color w:val="000000"/>
                <w:sz w:val="22"/>
                <w:szCs w:val="22"/>
                <w:u w:val="none"/>
              </w:rPr>
            </w:pPr>
          </w:p>
        </w:tc>
      </w:tr>
      <w:tr w14:paraId="4AFE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0BA01F3A">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5CAE2490">
            <w:pPr>
              <w:jc w:val="center"/>
              <w:rPr>
                <w:rFonts w:hint="eastAsia" w:ascii="宋体" w:hAnsi="宋体" w:eastAsia="宋体" w:cs="宋体"/>
                <w:i w:val="0"/>
                <w:iCs w:val="0"/>
                <w:color w:val="000000"/>
                <w:sz w:val="22"/>
                <w:szCs w:val="22"/>
                <w:u w:val="none"/>
              </w:rPr>
            </w:pPr>
          </w:p>
        </w:tc>
        <w:tc>
          <w:tcPr>
            <w:tcW w:w="662" w:type="dxa"/>
            <w:shd w:val="clear" w:color="auto" w:fill="auto"/>
            <w:vAlign w:val="center"/>
          </w:tcPr>
          <w:p w14:paraId="628DD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78" w:type="dxa"/>
            <w:shd w:val="clear" w:color="auto" w:fill="auto"/>
            <w:vAlign w:val="center"/>
          </w:tcPr>
          <w:p w14:paraId="7641F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2" w:type="dxa"/>
            <w:shd w:val="clear" w:color="auto" w:fill="auto"/>
            <w:vAlign w:val="center"/>
          </w:tcPr>
          <w:p w14:paraId="77FA4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职教中心-基础设施改造提升补助成本节约率</w:t>
            </w:r>
          </w:p>
        </w:tc>
        <w:tc>
          <w:tcPr>
            <w:tcW w:w="878" w:type="dxa"/>
            <w:shd w:val="clear" w:color="auto" w:fill="auto"/>
            <w:vAlign w:val="center"/>
          </w:tcPr>
          <w:p w14:paraId="1C3D7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92" w:type="dxa"/>
            <w:shd w:val="clear" w:color="auto" w:fill="auto"/>
            <w:vAlign w:val="center"/>
          </w:tcPr>
          <w:p w14:paraId="078A5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35" w:type="dxa"/>
            <w:shd w:val="clear" w:color="auto" w:fill="auto"/>
            <w:vAlign w:val="center"/>
          </w:tcPr>
          <w:p w14:paraId="31FDC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购置,课桌椅更换,教学综合楼广播、网络、监控安装，计算机应用专业实训室建设,电子商务专业实训室建设，成本节约率：按照({经费项目计划支出}-{经费项目预计支出})/{经费项目计划支出}*100%得出指标值，按照（指标值-（-10%））/（（0%）-（-10%））× 赋分值得分。</w:t>
            </w:r>
          </w:p>
        </w:tc>
        <w:tc>
          <w:tcPr>
            <w:tcW w:w="1110" w:type="dxa"/>
            <w:shd w:val="clear" w:color="auto" w:fill="auto"/>
            <w:vAlign w:val="center"/>
          </w:tcPr>
          <w:p w14:paraId="41050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0" w:type="dxa"/>
            <w:shd w:val="clear" w:color="auto" w:fill="auto"/>
            <w:vAlign w:val="center"/>
          </w:tcPr>
          <w:p w14:paraId="31B28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3" w:type="dxa"/>
            <w:vMerge w:val="continue"/>
            <w:shd w:val="clear" w:color="auto" w:fill="auto"/>
            <w:vAlign w:val="center"/>
          </w:tcPr>
          <w:p w14:paraId="047442EF">
            <w:pPr>
              <w:jc w:val="center"/>
              <w:rPr>
                <w:rFonts w:hint="eastAsia" w:ascii="宋体" w:hAnsi="宋体" w:eastAsia="宋体" w:cs="宋体"/>
                <w:i w:val="0"/>
                <w:iCs w:val="0"/>
                <w:color w:val="000000"/>
                <w:sz w:val="22"/>
                <w:szCs w:val="22"/>
                <w:u w:val="none"/>
              </w:rPr>
            </w:pPr>
          </w:p>
        </w:tc>
      </w:tr>
      <w:tr w14:paraId="62F5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restart"/>
            <w:shd w:val="clear" w:color="auto" w:fill="auto"/>
            <w:vAlign w:val="center"/>
          </w:tcPr>
          <w:p w14:paraId="5EC0F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vMerge w:val="restart"/>
            <w:shd w:val="clear" w:color="auto" w:fill="auto"/>
            <w:vAlign w:val="center"/>
          </w:tcPr>
          <w:p w14:paraId="4190D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2" w:type="dxa"/>
            <w:vMerge w:val="restart"/>
            <w:shd w:val="clear" w:color="auto" w:fill="auto"/>
            <w:vAlign w:val="center"/>
          </w:tcPr>
          <w:p w14:paraId="5D94A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878" w:type="dxa"/>
            <w:vMerge w:val="restart"/>
            <w:shd w:val="clear" w:color="auto" w:fill="auto"/>
            <w:vAlign w:val="center"/>
          </w:tcPr>
          <w:p w14:paraId="48B5B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02" w:type="dxa"/>
            <w:vMerge w:val="restart"/>
            <w:shd w:val="clear" w:color="auto" w:fill="auto"/>
            <w:vAlign w:val="center"/>
          </w:tcPr>
          <w:p w14:paraId="38EE5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改善学习环境，提升学校形象，促进教育公平</w:t>
            </w:r>
          </w:p>
        </w:tc>
        <w:tc>
          <w:tcPr>
            <w:tcW w:w="878" w:type="dxa"/>
            <w:vMerge w:val="restart"/>
            <w:shd w:val="clear" w:color="auto" w:fill="auto"/>
            <w:vAlign w:val="center"/>
          </w:tcPr>
          <w:p w14:paraId="2E67B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92" w:type="dxa"/>
            <w:shd w:val="clear" w:color="auto" w:fill="auto"/>
            <w:vAlign w:val="center"/>
          </w:tcPr>
          <w:p w14:paraId="32A5E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35" w:type="dxa"/>
            <w:shd w:val="clear" w:color="auto" w:fill="auto"/>
            <w:vAlign w:val="center"/>
          </w:tcPr>
          <w:p w14:paraId="56303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学习环境，提高教师的教学质量和效率：按照*&lt;计算公式&gt;*得出指标值，按照*&lt;得分公式&gt;*得分。达成目标得100%分，基本达成目标得75%分，部分实现目标得50%分，实现程度较低得25%分，实现程度低得0%分。</w:t>
            </w:r>
          </w:p>
        </w:tc>
        <w:tc>
          <w:tcPr>
            <w:tcW w:w="1110" w:type="dxa"/>
            <w:shd w:val="clear" w:color="auto" w:fill="auto"/>
            <w:vAlign w:val="center"/>
          </w:tcPr>
          <w:p w14:paraId="496D9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0161C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3" w:type="dxa"/>
            <w:vMerge w:val="restart"/>
            <w:shd w:val="clear" w:color="auto" w:fill="auto"/>
            <w:vAlign w:val="center"/>
          </w:tcPr>
          <w:p w14:paraId="6BD04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15F3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30C1541E">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4B9EA6D4">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2C1CC528">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2CEB0F23">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0AD6C372">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51383780">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4EFAA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35" w:type="dxa"/>
            <w:shd w:val="clear" w:color="auto" w:fill="auto"/>
            <w:vAlign w:val="center"/>
          </w:tcPr>
          <w:p w14:paraId="1D20F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提高教育质量，提升学校形象：按照*&lt;计算公式&gt;*得出指标值，按照*&lt;得分公式&gt;*得分。达成目标得100%分，基本达成目标得75%分，部分实现目标得50%分，实现程度较低得25%分，实现程度低得0%分。</w:t>
            </w:r>
          </w:p>
        </w:tc>
        <w:tc>
          <w:tcPr>
            <w:tcW w:w="1110" w:type="dxa"/>
            <w:shd w:val="clear" w:color="auto" w:fill="auto"/>
            <w:vAlign w:val="center"/>
          </w:tcPr>
          <w:p w14:paraId="338C6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140FE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3" w:type="dxa"/>
            <w:vMerge w:val="continue"/>
            <w:shd w:val="clear" w:color="auto" w:fill="auto"/>
            <w:vAlign w:val="center"/>
          </w:tcPr>
          <w:p w14:paraId="1E05BC3B">
            <w:pPr>
              <w:jc w:val="center"/>
              <w:rPr>
                <w:rFonts w:hint="eastAsia" w:ascii="宋体" w:hAnsi="宋体" w:eastAsia="宋体" w:cs="宋体"/>
                <w:i w:val="0"/>
                <w:iCs w:val="0"/>
                <w:color w:val="000000"/>
                <w:sz w:val="22"/>
                <w:szCs w:val="22"/>
                <w:u w:val="none"/>
              </w:rPr>
            </w:pPr>
          </w:p>
        </w:tc>
      </w:tr>
      <w:tr w14:paraId="56BF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7E4221B5">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63EBECE9">
            <w:pPr>
              <w:jc w:val="center"/>
              <w:rPr>
                <w:rFonts w:hint="eastAsia" w:ascii="宋体" w:hAnsi="宋体" w:eastAsia="宋体" w:cs="宋体"/>
                <w:i w:val="0"/>
                <w:iCs w:val="0"/>
                <w:color w:val="000000"/>
                <w:sz w:val="22"/>
                <w:szCs w:val="22"/>
                <w:u w:val="none"/>
              </w:rPr>
            </w:pPr>
          </w:p>
        </w:tc>
        <w:tc>
          <w:tcPr>
            <w:tcW w:w="662" w:type="dxa"/>
            <w:vMerge w:val="continue"/>
            <w:shd w:val="clear" w:color="auto" w:fill="auto"/>
            <w:vAlign w:val="center"/>
          </w:tcPr>
          <w:p w14:paraId="7B495F15">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1342AE79">
            <w:pPr>
              <w:jc w:val="center"/>
              <w:rPr>
                <w:rFonts w:hint="eastAsia" w:ascii="宋体" w:hAnsi="宋体" w:eastAsia="宋体" w:cs="宋体"/>
                <w:i w:val="0"/>
                <w:iCs w:val="0"/>
                <w:color w:val="000000"/>
                <w:sz w:val="22"/>
                <w:szCs w:val="22"/>
                <w:u w:val="none"/>
              </w:rPr>
            </w:pPr>
          </w:p>
        </w:tc>
        <w:tc>
          <w:tcPr>
            <w:tcW w:w="1102" w:type="dxa"/>
            <w:vMerge w:val="continue"/>
            <w:shd w:val="clear" w:color="auto" w:fill="auto"/>
            <w:vAlign w:val="center"/>
          </w:tcPr>
          <w:p w14:paraId="26DD604F">
            <w:pPr>
              <w:jc w:val="center"/>
              <w:rPr>
                <w:rFonts w:hint="eastAsia" w:ascii="宋体" w:hAnsi="宋体" w:eastAsia="宋体" w:cs="宋体"/>
                <w:i w:val="0"/>
                <w:iCs w:val="0"/>
                <w:color w:val="000000"/>
                <w:sz w:val="22"/>
                <w:szCs w:val="22"/>
                <w:u w:val="none"/>
              </w:rPr>
            </w:pPr>
          </w:p>
        </w:tc>
        <w:tc>
          <w:tcPr>
            <w:tcW w:w="878" w:type="dxa"/>
            <w:vMerge w:val="continue"/>
            <w:shd w:val="clear" w:color="auto" w:fill="auto"/>
            <w:vAlign w:val="center"/>
          </w:tcPr>
          <w:p w14:paraId="6DB28EE0">
            <w:pPr>
              <w:jc w:val="center"/>
              <w:rPr>
                <w:rFonts w:hint="eastAsia" w:ascii="宋体" w:hAnsi="宋体" w:eastAsia="宋体" w:cs="宋体"/>
                <w:i w:val="0"/>
                <w:iCs w:val="0"/>
                <w:color w:val="000000"/>
                <w:sz w:val="22"/>
                <w:szCs w:val="22"/>
                <w:u w:val="none"/>
              </w:rPr>
            </w:pPr>
          </w:p>
        </w:tc>
        <w:tc>
          <w:tcPr>
            <w:tcW w:w="892" w:type="dxa"/>
            <w:shd w:val="clear" w:color="auto" w:fill="auto"/>
            <w:vAlign w:val="center"/>
          </w:tcPr>
          <w:p w14:paraId="1A1D3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35" w:type="dxa"/>
            <w:shd w:val="clear" w:color="auto" w:fill="auto"/>
            <w:vAlign w:val="center"/>
          </w:tcPr>
          <w:p w14:paraId="59015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均衡教育资源，促进教育公平。：按照*&lt;计算公式&gt;*得出指标值，按照*&lt;得分公式&gt;*得分。达成目标得100%分，基本达成目标得75%分，部分实现目标得50%分，实现程度较低得25%分，实现程度低得0%分。</w:t>
            </w:r>
          </w:p>
        </w:tc>
        <w:tc>
          <w:tcPr>
            <w:tcW w:w="1110" w:type="dxa"/>
            <w:shd w:val="clear" w:color="auto" w:fill="auto"/>
            <w:vAlign w:val="center"/>
          </w:tcPr>
          <w:p w14:paraId="1C00B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0" w:type="dxa"/>
            <w:shd w:val="clear" w:color="auto" w:fill="auto"/>
            <w:vAlign w:val="center"/>
          </w:tcPr>
          <w:p w14:paraId="19361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3" w:type="dxa"/>
            <w:vMerge w:val="continue"/>
            <w:shd w:val="clear" w:color="auto" w:fill="auto"/>
            <w:vAlign w:val="center"/>
          </w:tcPr>
          <w:p w14:paraId="615FEE9F">
            <w:pPr>
              <w:jc w:val="center"/>
              <w:rPr>
                <w:rFonts w:hint="eastAsia" w:ascii="宋体" w:hAnsi="宋体" w:eastAsia="宋体" w:cs="宋体"/>
                <w:i w:val="0"/>
                <w:iCs w:val="0"/>
                <w:color w:val="000000"/>
                <w:sz w:val="22"/>
                <w:szCs w:val="22"/>
                <w:u w:val="none"/>
              </w:rPr>
            </w:pPr>
          </w:p>
        </w:tc>
      </w:tr>
      <w:tr w14:paraId="0479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vMerge w:val="continue"/>
            <w:shd w:val="clear" w:color="auto" w:fill="auto"/>
            <w:vAlign w:val="center"/>
          </w:tcPr>
          <w:p w14:paraId="070DA532">
            <w:pPr>
              <w:jc w:val="center"/>
              <w:rPr>
                <w:rFonts w:hint="eastAsia" w:ascii="宋体" w:hAnsi="宋体" w:eastAsia="宋体" w:cs="宋体"/>
                <w:i w:val="0"/>
                <w:iCs w:val="0"/>
                <w:color w:val="000000"/>
                <w:sz w:val="22"/>
                <w:szCs w:val="22"/>
                <w:u w:val="none"/>
              </w:rPr>
            </w:pPr>
          </w:p>
        </w:tc>
        <w:tc>
          <w:tcPr>
            <w:tcW w:w="793" w:type="dxa"/>
            <w:vMerge w:val="continue"/>
            <w:shd w:val="clear" w:color="auto" w:fill="auto"/>
            <w:vAlign w:val="center"/>
          </w:tcPr>
          <w:p w14:paraId="58C2BB9A">
            <w:pPr>
              <w:jc w:val="center"/>
              <w:rPr>
                <w:rFonts w:hint="eastAsia" w:ascii="宋体" w:hAnsi="宋体" w:eastAsia="宋体" w:cs="宋体"/>
                <w:i w:val="0"/>
                <w:iCs w:val="0"/>
                <w:color w:val="000000"/>
                <w:sz w:val="22"/>
                <w:szCs w:val="22"/>
                <w:u w:val="none"/>
              </w:rPr>
            </w:pPr>
          </w:p>
        </w:tc>
        <w:tc>
          <w:tcPr>
            <w:tcW w:w="662" w:type="dxa"/>
            <w:shd w:val="clear" w:color="auto" w:fill="auto"/>
            <w:vAlign w:val="center"/>
          </w:tcPr>
          <w:p w14:paraId="258FC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878" w:type="dxa"/>
            <w:shd w:val="clear" w:color="auto" w:fill="auto"/>
            <w:vAlign w:val="center"/>
          </w:tcPr>
          <w:p w14:paraId="61A6A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2" w:type="dxa"/>
            <w:shd w:val="clear" w:color="auto" w:fill="auto"/>
            <w:vAlign w:val="center"/>
          </w:tcPr>
          <w:p w14:paraId="583CD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学校师生满意度</w:t>
            </w:r>
          </w:p>
        </w:tc>
        <w:tc>
          <w:tcPr>
            <w:tcW w:w="878" w:type="dxa"/>
            <w:shd w:val="clear" w:color="auto" w:fill="auto"/>
            <w:vAlign w:val="center"/>
          </w:tcPr>
          <w:p w14:paraId="0074B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92" w:type="dxa"/>
            <w:shd w:val="clear" w:color="auto" w:fill="auto"/>
            <w:vAlign w:val="center"/>
          </w:tcPr>
          <w:p w14:paraId="41CD0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35" w:type="dxa"/>
            <w:shd w:val="clear" w:color="auto" w:fill="auto"/>
            <w:vAlign w:val="center"/>
          </w:tcPr>
          <w:p w14:paraId="7D027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学校师生满意度：按照*&lt;计算公式&gt;*得出指标值，按照*&lt;得分公式&gt;*得分。满意得100%分，较满意得80%分，基本满意得60%分，较不满意得30%分，不满意得0%分。</w:t>
            </w:r>
          </w:p>
        </w:tc>
        <w:tc>
          <w:tcPr>
            <w:tcW w:w="1110" w:type="dxa"/>
            <w:shd w:val="clear" w:color="auto" w:fill="auto"/>
            <w:vAlign w:val="center"/>
          </w:tcPr>
          <w:p w14:paraId="0EE63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990" w:type="dxa"/>
            <w:shd w:val="clear" w:color="auto" w:fill="auto"/>
            <w:vAlign w:val="center"/>
          </w:tcPr>
          <w:p w14:paraId="20063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3" w:type="dxa"/>
            <w:vMerge w:val="continue"/>
            <w:shd w:val="clear" w:color="auto" w:fill="auto"/>
            <w:vAlign w:val="center"/>
          </w:tcPr>
          <w:p w14:paraId="6779EDA5">
            <w:pPr>
              <w:jc w:val="center"/>
              <w:rPr>
                <w:rFonts w:hint="eastAsia" w:ascii="宋体" w:hAnsi="宋体" w:eastAsia="宋体" w:cs="宋体"/>
                <w:i w:val="0"/>
                <w:iCs w:val="0"/>
                <w:color w:val="000000"/>
                <w:sz w:val="22"/>
                <w:szCs w:val="22"/>
                <w:u w:val="none"/>
              </w:rPr>
            </w:pPr>
          </w:p>
        </w:tc>
      </w:tr>
      <w:tr w14:paraId="42E9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7" w:type="dxa"/>
            <w:shd w:val="clear" w:color="auto" w:fill="auto"/>
            <w:vAlign w:val="center"/>
          </w:tcPr>
          <w:p w14:paraId="7E5B0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93" w:type="dxa"/>
            <w:shd w:val="clear" w:color="auto" w:fill="auto"/>
            <w:vAlign w:val="center"/>
          </w:tcPr>
          <w:p w14:paraId="4AD66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2" w:type="dxa"/>
            <w:shd w:val="clear" w:color="auto" w:fill="auto"/>
            <w:noWrap/>
            <w:vAlign w:val="center"/>
          </w:tcPr>
          <w:p w14:paraId="79BA16C5">
            <w:pPr>
              <w:rPr>
                <w:rFonts w:hint="eastAsia" w:ascii="宋体" w:hAnsi="宋体" w:eastAsia="宋体" w:cs="宋体"/>
                <w:i w:val="0"/>
                <w:iCs w:val="0"/>
                <w:color w:val="000000"/>
                <w:sz w:val="22"/>
                <w:szCs w:val="22"/>
                <w:u w:val="none"/>
              </w:rPr>
            </w:pPr>
          </w:p>
        </w:tc>
        <w:tc>
          <w:tcPr>
            <w:tcW w:w="878" w:type="dxa"/>
            <w:shd w:val="clear" w:color="auto" w:fill="auto"/>
            <w:vAlign w:val="center"/>
          </w:tcPr>
          <w:p w14:paraId="07796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02" w:type="dxa"/>
            <w:shd w:val="clear" w:color="auto" w:fill="auto"/>
            <w:noWrap/>
            <w:vAlign w:val="center"/>
          </w:tcPr>
          <w:p w14:paraId="6877D0D7">
            <w:pPr>
              <w:rPr>
                <w:rFonts w:hint="eastAsia" w:ascii="宋体" w:hAnsi="宋体" w:eastAsia="宋体" w:cs="宋体"/>
                <w:i w:val="0"/>
                <w:iCs w:val="0"/>
                <w:color w:val="000000"/>
                <w:sz w:val="22"/>
                <w:szCs w:val="22"/>
                <w:u w:val="none"/>
              </w:rPr>
            </w:pPr>
          </w:p>
        </w:tc>
        <w:tc>
          <w:tcPr>
            <w:tcW w:w="878" w:type="dxa"/>
            <w:shd w:val="clear" w:color="auto" w:fill="auto"/>
            <w:vAlign w:val="center"/>
          </w:tcPr>
          <w:p w14:paraId="6A179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2" w:type="dxa"/>
            <w:shd w:val="clear" w:color="auto" w:fill="auto"/>
            <w:vAlign w:val="center"/>
          </w:tcPr>
          <w:p w14:paraId="518B9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35" w:type="dxa"/>
            <w:shd w:val="clear" w:color="auto" w:fill="auto"/>
            <w:noWrap/>
            <w:vAlign w:val="center"/>
          </w:tcPr>
          <w:p w14:paraId="43F58F09">
            <w:pPr>
              <w:rPr>
                <w:rFonts w:hint="eastAsia" w:ascii="宋体" w:hAnsi="宋体" w:eastAsia="宋体" w:cs="宋体"/>
                <w:i w:val="0"/>
                <w:iCs w:val="0"/>
                <w:color w:val="000000"/>
                <w:sz w:val="22"/>
                <w:szCs w:val="22"/>
                <w:u w:val="none"/>
              </w:rPr>
            </w:pPr>
          </w:p>
        </w:tc>
        <w:tc>
          <w:tcPr>
            <w:tcW w:w="1110" w:type="dxa"/>
            <w:shd w:val="clear" w:color="auto" w:fill="auto"/>
            <w:noWrap/>
            <w:vAlign w:val="center"/>
          </w:tcPr>
          <w:p w14:paraId="575FD919">
            <w:pPr>
              <w:rPr>
                <w:rFonts w:hint="eastAsia" w:ascii="宋体" w:hAnsi="宋体" w:eastAsia="宋体" w:cs="宋体"/>
                <w:i w:val="0"/>
                <w:iCs w:val="0"/>
                <w:color w:val="000000"/>
                <w:sz w:val="22"/>
                <w:szCs w:val="22"/>
                <w:u w:val="none"/>
              </w:rPr>
            </w:pPr>
          </w:p>
        </w:tc>
        <w:tc>
          <w:tcPr>
            <w:tcW w:w="990" w:type="dxa"/>
            <w:shd w:val="clear" w:color="auto" w:fill="auto"/>
            <w:vAlign w:val="center"/>
          </w:tcPr>
          <w:p w14:paraId="14BE98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w:t>
            </w:r>
          </w:p>
        </w:tc>
        <w:tc>
          <w:tcPr>
            <w:tcW w:w="1203" w:type="dxa"/>
            <w:shd w:val="clear" w:color="auto" w:fill="auto"/>
            <w:vAlign w:val="center"/>
          </w:tcPr>
          <w:p w14:paraId="51CFF32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w:t>
            </w:r>
          </w:p>
        </w:tc>
      </w:tr>
    </w:tbl>
    <w:p w14:paraId="0B529C52">
      <w:pPr>
        <w:spacing w:line="600" w:lineRule="exact"/>
        <w:jc w:val="left"/>
        <w:rPr>
          <w:rFonts w:hint="eastAsia" w:ascii="仿宋" w:hAnsi="仿宋" w:eastAsia="仿宋" w:cs="仿宋"/>
          <w:kern w:val="0"/>
          <w:sz w:val="32"/>
          <w:szCs w:val="32"/>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E48EEE-ADED-4E3A-AE86-EAD170BA04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1515CE4A-9735-43E6-9A88-C4D0F3C9DA15}"/>
  </w:font>
  <w:font w:name="仿宋_GB2312">
    <w:altName w:val="仿宋"/>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501B78A4-04B7-413A-894E-52E0D4B48B8E}"/>
  </w:font>
  <w:font w:name="楷体_GB2312">
    <w:panose1 w:val="02010609060101010101"/>
    <w:charset w:val="86"/>
    <w:family w:val="auto"/>
    <w:pitch w:val="default"/>
    <w:sig w:usb0="800002BF" w:usb1="38CF7CFA" w:usb2="00000016" w:usb3="00000000" w:csb0="00040001" w:csb1="00000000"/>
    <w:embedRegular r:id="rId4" w:fontKey="{B812B822-E2DE-4085-8356-1311D351DBD0}"/>
  </w:font>
  <w:font w:name="方正小标宋_GBK">
    <w:panose1 w:val="02000000000000000000"/>
    <w:charset w:val="86"/>
    <w:family w:val="auto"/>
    <w:pitch w:val="default"/>
    <w:sig w:usb0="A00002BF" w:usb1="38CF7CFA" w:usb2="00082016" w:usb3="00000000" w:csb0="00040001" w:csb1="00000000"/>
    <w:embedRegular r:id="rId5" w:fontKey="{F31A7FB4-BAF5-478E-AEEF-10FE61BAE9CD}"/>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5125D">
    <w:pPr>
      <w:pStyle w:val="15"/>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954A">
    <w:pPr>
      <w:pStyle w:val="15"/>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01A3">
    <w:pPr>
      <w:pStyle w:val="15"/>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300A">
    <w:pPr>
      <w:pStyle w:val="15"/>
      <w:tabs>
        <w:tab w:val="center" w:pos="4260"/>
        <w:tab w:val="clear" w:pos="4153"/>
      </w:tabs>
      <w:jc w:val="both"/>
      <w:rPr>
        <w:rFonts w:ascii="仿宋" w:hAnsi="仿宋" w:eastAsia="仿宋" w:cs="仿宋"/>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wp:posOffset>
              </wp:positionV>
              <wp:extent cx="406400" cy="152400"/>
              <wp:effectExtent l="0" t="0" r="12700" b="0"/>
              <wp:wrapNone/>
              <wp:docPr id="14"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6400" cy="1524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CC45D4E">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anchor="t" upright="0">
                      <a:noAutofit/>
                    </wps:bodyPr>
                  </wps:wsp>
                </a:graphicData>
              </a:graphic>
            </wp:anchor>
          </w:drawing>
        </mc:Choice>
        <mc:Fallback>
          <w:pict>
            <v:rect id="_x0000_s1050" o:spid="_x0000_s1026" o:spt="1" style="position:absolute;left:0pt;margin-top:0.1pt;height:12pt;width:32pt;mso-position-horizontal:center;mso-position-horizontal-relative:margin;z-index:251659264;mso-width-relative:page;mso-height-relative:page;" filled="f" stroked="f" coordsize="21600,21600" o:gfxdata="UEsDBAoAAAAAAIdO4kAAAAAAAAAAAAAAAAAEAAAAZHJzL1BLAwQUAAAACACHTuJA3Iyo79QAAAAD&#10;AQAADwAAAGRycy9kb3ducmV2LnhtbE2Py07DMBBF90j8gzVI7KjTqKraEKdCPFSW0CIVdm48JBH2&#10;OIqnTeHrGVZleXRH954pV6fg1RGH1EUyMJ1koJDq6DpqDLxtn24WoBJbctZHQgPfmGBVXV6UtnBx&#10;pFc8brhRUkKpsAZa5r7QOtUtBpsmsUeS7DMOwbLg0Gg32FHKg9d5ls11sB3JQmt7vG+x/tocgoH1&#10;or97f44/Y+MfP9a7l93yYbtkY66vptktKMYTn4/hT1/UoRKnfTyQS8obkEfYQA5KsvlMaC80y0FX&#10;pf7vXv0CUEsDBBQAAAAIAIdO4kAz4uWTAQIAACEEAAAOAAAAZHJzL2Uyb0RvYy54bWytU8Fu2zAM&#10;vQ/YPwi6L3aCtBiCOEWxIMOAYA3Q7VwoshwLs0WNVGJnXz9KdtK126GH+SBQFPnI90gv7/q2ESeD&#10;ZMEVcjrJpTBOQ2ndoZDfv20+fJSCgnKlasCZQp4NybvV+3fLzi/MDGpoSoOCQRwtOl/IOgS/yDLS&#10;tWkVTcAbx48VYKsCX/GQlag6Rm+bbJbnt1kHWHoEbYjYux4e5YiIbwGEqrLarEEfW+PCgIqmUYEp&#10;UW09yVXqtqqMDg9VRSaIppDMNKSTi7C9j2e2WqrFAZWvrR5bUG9p4RWnVlnHRa9QaxWUOKL9C6q1&#10;GoGgChMNbTYQSYowi2n+SpvHWnmTuLDU5K+i0/+D1V9POxS25E2YS+FUyxN/6nP+nmia3ySBOk8L&#10;jnv0O4wUyW9B/yDh4FOt3MHck2eZGSCKmb0Ijhca0/oK25jOnEWfBnC+DsD0QWh2zvPbec6j0fw0&#10;vZlFO2KqxSXZI4XPBloRjUIiF06yq9OWwhB6CYm1HGxs06QZN+6FgzGjJ7U7dBh7Df2+5+ho7qE8&#10;szIIw8qQ1xvLNbeKwk4h7wi3yX9ReOCjaqArJIyWFDXgr3/5YzyPjl+l6HjnCkk/jwqNFM0Xx0ON&#10;C3ox8GLsL4ZymlMLGaQ4erSHOnU2sLo/BqhsUuC5+ZEeb07ScNzyuJp/3lPU85+9+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jKjv1AAAAAMBAAAPAAAAAAAAAAEAIAAAACIAAABkcnMvZG93bnJl&#10;di54bWxQSwECFAAUAAAACACHTuJAM+LlkwECAAAhBAAADgAAAAAAAAABACAAAAAjAQAAZHJzL2Uy&#10;b0RvYy54bWxQSwUGAAAAAAYABgBZAQAAlgUAAAAA&#10;">
              <v:fill on="f" focussize="0,0"/>
              <v:stroke on="f"/>
              <v:imagedata o:title=""/>
              <o:lock v:ext="edit" aspectratio="t"/>
              <v:textbox inset="0mm,0mm,0mm,0mm">
                <w:txbxContent>
                  <w:p w14:paraId="7CC45D4E">
                    <w:pPr>
                      <w:pStyle w:val="15"/>
                    </w:pPr>
                    <w:r>
                      <w:fldChar w:fldCharType="begin"/>
                    </w:r>
                    <w:r>
                      <w:instrText xml:space="preserve"> PAGE  \* MERGEFORMAT </w:instrText>
                    </w:r>
                    <w:r>
                      <w:fldChar w:fldCharType="separate"/>
                    </w:r>
                    <w:r>
                      <w:t>10</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517515A"/>
    <w:rsid w:val="07C80EFB"/>
    <w:rsid w:val="0D0C188A"/>
    <w:rsid w:val="0E213113"/>
    <w:rsid w:val="0E3270CE"/>
    <w:rsid w:val="0E820056"/>
    <w:rsid w:val="10AA291C"/>
    <w:rsid w:val="13195893"/>
    <w:rsid w:val="14072DAB"/>
    <w:rsid w:val="148B578A"/>
    <w:rsid w:val="1A7C004F"/>
    <w:rsid w:val="1B285AE1"/>
    <w:rsid w:val="1B7156DA"/>
    <w:rsid w:val="1C8B27CB"/>
    <w:rsid w:val="1F59095F"/>
    <w:rsid w:val="266D2F42"/>
    <w:rsid w:val="273677D8"/>
    <w:rsid w:val="27A7485C"/>
    <w:rsid w:val="2A5705C9"/>
    <w:rsid w:val="2C377A01"/>
    <w:rsid w:val="2CE43832"/>
    <w:rsid w:val="33144410"/>
    <w:rsid w:val="35F20D6E"/>
    <w:rsid w:val="387F0E9B"/>
    <w:rsid w:val="3C12216A"/>
    <w:rsid w:val="3DD84CED"/>
    <w:rsid w:val="3F1C052C"/>
    <w:rsid w:val="3F220916"/>
    <w:rsid w:val="41540B2E"/>
    <w:rsid w:val="46004DE1"/>
    <w:rsid w:val="4B101F6A"/>
    <w:rsid w:val="516304F6"/>
    <w:rsid w:val="522B1438"/>
    <w:rsid w:val="52EB6521"/>
    <w:rsid w:val="53D7449C"/>
    <w:rsid w:val="56786C15"/>
    <w:rsid w:val="59A0270B"/>
    <w:rsid w:val="5CF80AB0"/>
    <w:rsid w:val="5EBF1885"/>
    <w:rsid w:val="60AA0313"/>
    <w:rsid w:val="60C767CF"/>
    <w:rsid w:val="62141EE8"/>
    <w:rsid w:val="642B3519"/>
    <w:rsid w:val="678B52EF"/>
    <w:rsid w:val="69054339"/>
    <w:rsid w:val="69AC02F1"/>
    <w:rsid w:val="6A5E63F6"/>
    <w:rsid w:val="71C54FAD"/>
    <w:rsid w:val="79ED32F3"/>
    <w:rsid w:val="7C97579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ascii="Times New Roman" w:hAnsi="Times New Roman" w:eastAsia="黑体" w:cs="Times New Roman"/>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ind w:firstLine="420" w:firstLineChars="200"/>
      <w:outlineLvl w:val="1"/>
    </w:pPr>
    <w:rPr>
      <w:rFonts w:ascii="Arial" w:hAnsi="Arial" w:eastAsia="楷体" w:cs="Times New Roman"/>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qFormat/>
    <w:uiPriority w:val="0"/>
    <w:pPr>
      <w:spacing w:after="120" w:afterLines="0" w:afterAutospacing="0"/>
    </w:pPr>
  </w:style>
  <w:style w:type="paragraph" w:styleId="13">
    <w:name w:val="toc 3"/>
    <w:basedOn w:val="1"/>
    <w:next w:val="1"/>
    <w:qFormat/>
    <w:uiPriority w:val="0"/>
    <w:pPr>
      <w:ind w:left="840" w:leftChars="400"/>
    </w:pPr>
  </w:style>
  <w:style w:type="paragraph" w:styleId="14">
    <w:name w:val="Balloon Text"/>
    <w:basedOn w:val="1"/>
    <w:qFormat/>
    <w:uiPriority w:val="0"/>
    <w:rPr>
      <w:sz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9">
    <w:name w:val="toc 2"/>
    <w:basedOn w:val="1"/>
    <w:next w:val="1"/>
    <w:qFormat/>
    <w:uiPriority w:val="0"/>
    <w:pPr>
      <w:ind w:left="420" w:leftChars="200"/>
    </w:pPr>
  </w:style>
  <w:style w:type="paragraph" w:styleId="20">
    <w:name w:val="Normal (Web)"/>
    <w:basedOn w:val="1"/>
    <w:qFormat/>
    <w:uiPriority w:val="0"/>
    <w:rPr>
      <w:sz w:val="24"/>
    </w:rPr>
  </w:style>
  <w:style w:type="paragraph" w:styleId="2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2">
    <w:name w:val="annotation subject"/>
    <w:basedOn w:val="11"/>
    <w:next w:val="11"/>
    <w:qFormat/>
    <w:uiPriority w:val="0"/>
    <w:rPr>
      <w:b/>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Emphasis"/>
    <w:basedOn w:val="25"/>
    <w:qFormat/>
    <w:uiPriority w:val="0"/>
    <w:rPr>
      <w:i/>
    </w:rPr>
  </w:style>
  <w:style w:type="character" w:styleId="29">
    <w:name w:val="Hyperlink"/>
    <w:basedOn w:val="25"/>
    <w:qFormat/>
    <w:uiPriority w:val="0"/>
    <w:rPr>
      <w:color w:val="0000FF"/>
      <w:u w:val="single"/>
    </w:rPr>
  </w:style>
  <w:style w:type="character" w:styleId="30">
    <w:name w:val="annotation reference"/>
    <w:basedOn w:val="25"/>
    <w:qFormat/>
    <w:uiPriority w:val="0"/>
    <w:rPr>
      <w:sz w:val="21"/>
    </w:rPr>
  </w:style>
  <w:style w:type="paragraph" w:customStyle="1" w:styleId="31">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32">
    <w:name w:val="Char Char Char Char Char Char Char"/>
    <w:basedOn w:val="1"/>
    <w:qFormat/>
    <w:uiPriority w:val="0"/>
    <w:rPr>
      <w:rFonts w:eastAsia="仿宋_GB2312"/>
      <w:sz w:val="30"/>
      <w:szCs w:val="21"/>
    </w:rPr>
  </w:style>
  <w:style w:type="paragraph" w:customStyle="1" w:styleId="33">
    <w:name w:val="正文缩进1"/>
    <w:basedOn w:val="1"/>
    <w:qFormat/>
    <w:uiPriority w:val="0"/>
    <w:pPr>
      <w:ind w:firstLine="420" w:firstLineChars="200"/>
    </w:pPr>
  </w:style>
  <w:style w:type="paragraph" w:customStyle="1" w:styleId="34">
    <w:name w:val="BodyText"/>
    <w:basedOn w:val="1"/>
    <w:qFormat/>
    <w:uiPriority w:val="0"/>
    <w:pPr>
      <w:jc w:val="center"/>
      <w:textAlignment w:val="baseline"/>
    </w:pPr>
    <w:rPr>
      <w:kern w:val="0"/>
      <w:sz w:val="20"/>
      <w:szCs w:val="24"/>
    </w:rPr>
  </w:style>
  <w:style w:type="paragraph" w:customStyle="1" w:styleId="35">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8">
    <w:name w:val="批注文字 字符"/>
    <w:basedOn w:val="25"/>
    <w:qFormat/>
    <w:uiPriority w:val="99"/>
    <w:rPr>
      <w:kern w:val="2"/>
      <w:sz w:val="21"/>
    </w:rPr>
  </w:style>
  <w:style w:type="character" w:customStyle="1" w:styleId="39">
    <w:name w:val="批注主题 字符"/>
    <w:basedOn w:val="38"/>
    <w:qFormat/>
    <w:uiPriority w:val="0"/>
    <w:rPr>
      <w:b/>
      <w:bCs/>
      <w:kern w:val="2"/>
      <w:sz w:val="21"/>
    </w:rPr>
  </w:style>
  <w:style w:type="character" w:customStyle="1" w:styleId="40">
    <w:name w:val="正文文本 字符"/>
    <w:basedOn w:val="25"/>
    <w:qFormat/>
    <w:uiPriority w:val="1"/>
    <w:rPr>
      <w:kern w:val="2"/>
      <w:sz w:val="28"/>
      <w:szCs w:val="28"/>
    </w:rPr>
  </w:style>
  <w:style w:type="character" w:customStyle="1" w:styleId="41">
    <w:name w:val="批注框文本 字符"/>
    <w:basedOn w:val="2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4.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2ECD-F606-45A5-AD68-7D54D6DC8C9F}">
  <ds:schemaRefs/>
</ds:datastoreItem>
</file>

<file path=customXml/itemProps3.xml><?xml version="1.0" encoding="utf-8"?>
<ds:datastoreItem xmlns:ds="http://schemas.openxmlformats.org/officeDocument/2006/customXml" ds:itemID="{48e728c6-d467-4f82-b4d7-e448d52c0b6c}">
  <ds:schemaRefs/>
</ds:datastoreItem>
</file>

<file path=customXml/itemProps4.xml><?xml version="1.0" encoding="utf-8"?>
<ds:datastoreItem xmlns:ds="http://schemas.openxmlformats.org/officeDocument/2006/customXml" ds:itemID="{4882efd1-9521-4853-a44b-bfececb5292a}">
  <ds:schemaRefs/>
</ds:datastoreItem>
</file>

<file path=customXml/itemProps5.xml><?xml version="1.0" encoding="utf-8"?>
<ds:datastoreItem xmlns:ds="http://schemas.openxmlformats.org/officeDocument/2006/customXml" ds:itemID="{5964a941-2449-473c-9226-ddb9966da0a4}">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11159</Words>
  <Characters>12114</Characters>
  <Lines>38</Lines>
  <Paragraphs>10</Paragraphs>
  <TotalTime>170</TotalTime>
  <ScaleCrop>false</ScaleCrop>
  <LinksUpToDate>false</LinksUpToDate>
  <CharactersWithSpaces>12201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2024-11-13T06:21:59Z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D66334F1308D4C6BB35242272389A809_13</vt:lpwstr>
  </property>
</Properties>
</file>