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31DC4">
      <w:pPr>
        <w:spacing w:line="248" w:lineRule="auto"/>
        <w:rPr>
          <w:rFonts w:ascii="宋体"/>
        </w:rPr>
      </w:pPr>
    </w:p>
    <w:p w14:paraId="7B0B5ED1">
      <w:pPr>
        <w:spacing w:line="248" w:lineRule="auto"/>
        <w:rPr>
          <w:rFonts w:ascii="宋体"/>
        </w:rPr>
      </w:pPr>
      <w:bookmarkStart w:id="0" w:name="_Toc28812"/>
    </w:p>
    <w:p w14:paraId="0A042CB1">
      <w:pPr>
        <w:spacing w:line="248" w:lineRule="auto"/>
        <w:rPr>
          <w:rFonts w:ascii="宋体"/>
        </w:rPr>
      </w:pPr>
    </w:p>
    <w:p w14:paraId="48408C86">
      <w:pPr>
        <w:jc w:val="center"/>
        <w:outlineLvl w:val="9"/>
        <w:rPr>
          <w:rFonts w:ascii="楷体" w:hAnsi="楷体" w:eastAsia="楷体" w:cs="楷体"/>
          <w:b/>
          <w:bCs/>
          <w:sz w:val="36"/>
          <w:szCs w:val="36"/>
        </w:rPr>
      </w:pPr>
      <w:bookmarkStart w:id="1" w:name="_Toc16984"/>
      <w:bookmarkStart w:id="2" w:name="_Toc24848"/>
      <w:r>
        <w:rPr>
          <w:rFonts w:ascii="楷体" w:hAnsi="楷体" w:eastAsia="楷体" w:cs="楷体"/>
          <w:b/>
          <w:bCs/>
          <w:sz w:val="36"/>
          <w:szCs w:val="36"/>
        </w:rPr>
        <w:t>国土空间总体规划编制工作经费</w:t>
      </w:r>
      <w:bookmarkEnd w:id="1"/>
      <w:bookmarkEnd w:id="2"/>
    </w:p>
    <w:p w14:paraId="381695F9">
      <w:pPr>
        <w:spacing w:line="248" w:lineRule="auto"/>
        <w:rPr>
          <w:rFonts w:ascii="宋体"/>
        </w:rPr>
      </w:pPr>
    </w:p>
    <w:p w14:paraId="542F69FF">
      <w:pPr>
        <w:spacing w:line="248" w:lineRule="auto"/>
        <w:rPr>
          <w:rFonts w:ascii="宋体"/>
        </w:rPr>
      </w:pPr>
    </w:p>
    <w:p w14:paraId="50E3AD2D">
      <w:pPr>
        <w:spacing w:line="248" w:lineRule="auto"/>
        <w:rPr>
          <w:rFonts w:ascii="宋体"/>
        </w:rPr>
      </w:pPr>
    </w:p>
    <w:p w14:paraId="0EB3BFF3">
      <w:pPr>
        <w:spacing w:line="1200" w:lineRule="exact"/>
        <w:jc w:val="center"/>
        <w:rPr>
          <w:rFonts w:ascii="黑体" w:hAnsi="黑体" w:eastAsia="黑体" w:cs="黑体"/>
          <w:b/>
          <w:bCs/>
          <w:sz w:val="72"/>
          <w:szCs w:val="72"/>
        </w:rPr>
      </w:pPr>
      <w:r>
        <w:rPr>
          <w:rFonts w:ascii="黑体" w:hAnsi="黑体" w:eastAsia="黑体" w:cs="黑体"/>
          <w:b/>
          <w:bCs/>
          <w:sz w:val="72"/>
          <w:szCs w:val="72"/>
        </w:rPr>
        <w:t>绩 效 评 价 报 告</w:t>
      </w:r>
    </w:p>
    <w:p w14:paraId="0D78631A">
      <w:pPr>
        <w:spacing w:line="248" w:lineRule="auto"/>
        <w:jc w:val="center"/>
        <w:rPr>
          <w:rFonts w:hint="eastAsia" w:ascii="楷体" w:hAnsi="楷体" w:eastAsia="楷体" w:cs="楷体"/>
          <w:b/>
          <w:bCs/>
          <w:sz w:val="36"/>
          <w:szCs w:val="36"/>
          <w:lang w:eastAsia="zh-CN"/>
        </w:rPr>
      </w:pPr>
    </w:p>
    <w:p w14:paraId="76CF1C5E">
      <w:pPr>
        <w:spacing w:line="248" w:lineRule="auto"/>
        <w:rPr>
          <w:rFonts w:ascii="宋体"/>
        </w:rPr>
      </w:pPr>
    </w:p>
    <w:p w14:paraId="395B638B">
      <w:pPr>
        <w:spacing w:line="248" w:lineRule="auto"/>
        <w:rPr>
          <w:rFonts w:ascii="宋体"/>
        </w:rPr>
      </w:pPr>
    </w:p>
    <w:p w14:paraId="576D439E">
      <w:pPr>
        <w:spacing w:line="248" w:lineRule="auto"/>
        <w:jc w:val="left"/>
        <w:rPr>
          <w:rFonts w:ascii="宋体"/>
        </w:rPr>
      </w:pPr>
    </w:p>
    <w:p w14:paraId="5A1E6916">
      <w:pPr>
        <w:spacing w:line="248" w:lineRule="auto"/>
        <w:jc w:val="left"/>
        <w:rPr>
          <w:rFonts w:ascii="宋体"/>
        </w:rPr>
      </w:pPr>
    </w:p>
    <w:p w14:paraId="39704BFD">
      <w:pPr>
        <w:spacing w:line="248" w:lineRule="auto"/>
        <w:jc w:val="left"/>
        <w:rPr>
          <w:rFonts w:ascii="宋体"/>
        </w:rPr>
      </w:pPr>
    </w:p>
    <w:p w14:paraId="4BF83942">
      <w:pPr>
        <w:spacing w:line="248" w:lineRule="auto"/>
        <w:jc w:val="left"/>
        <w:rPr>
          <w:rFonts w:ascii="宋体"/>
        </w:rPr>
      </w:pPr>
    </w:p>
    <w:p w14:paraId="2EDF5E25">
      <w:pPr>
        <w:spacing w:line="248" w:lineRule="auto"/>
        <w:jc w:val="left"/>
        <w:rPr>
          <w:rFonts w:ascii="宋体"/>
        </w:rPr>
      </w:pPr>
    </w:p>
    <w:p w14:paraId="6A090E17">
      <w:pPr>
        <w:spacing w:line="248" w:lineRule="auto"/>
        <w:rPr>
          <w:rFonts w:ascii="宋体"/>
        </w:rPr>
      </w:pPr>
    </w:p>
    <w:p w14:paraId="12EEC61A">
      <w:pPr>
        <w:spacing w:line="248" w:lineRule="auto"/>
        <w:jc w:val="left"/>
        <w:rPr>
          <w:rFonts w:ascii="宋体"/>
        </w:rPr>
      </w:pPr>
    </w:p>
    <w:p w14:paraId="75C857DB">
      <w:pPr>
        <w:spacing w:line="248" w:lineRule="auto"/>
        <w:jc w:val="left"/>
        <w:rPr>
          <w:rFonts w:ascii="宋体"/>
        </w:rPr>
      </w:pPr>
    </w:p>
    <w:p w14:paraId="7C49138F">
      <w:pPr>
        <w:spacing w:line="248" w:lineRule="auto"/>
        <w:jc w:val="left"/>
        <w:rPr>
          <w:rFonts w:ascii="宋体"/>
        </w:rPr>
      </w:pPr>
    </w:p>
    <w:p w14:paraId="74696ACC">
      <w:pPr>
        <w:spacing w:line="248" w:lineRule="auto"/>
        <w:jc w:val="left"/>
        <w:rPr>
          <w:rFonts w:ascii="宋体"/>
        </w:rPr>
      </w:pPr>
    </w:p>
    <w:p w14:paraId="1614D532">
      <w:pPr>
        <w:spacing w:line="248" w:lineRule="auto"/>
        <w:jc w:val="left"/>
        <w:rPr>
          <w:rFonts w:ascii="宋体"/>
        </w:rPr>
      </w:pPr>
    </w:p>
    <w:p w14:paraId="3C90DB50">
      <w:pPr>
        <w:spacing w:line="248" w:lineRule="auto"/>
        <w:jc w:val="left"/>
        <w:rPr>
          <w:rFonts w:ascii="宋体"/>
        </w:rPr>
      </w:pPr>
    </w:p>
    <w:p w14:paraId="361E0111">
      <w:pPr>
        <w:spacing w:line="248" w:lineRule="auto"/>
        <w:rPr>
          <w:rFonts w:ascii="宋体"/>
        </w:rPr>
      </w:pPr>
    </w:p>
    <w:p w14:paraId="786B9CC8">
      <w:pPr>
        <w:widowControl/>
        <w:spacing w:line="600" w:lineRule="exact"/>
        <w:ind w:firstLine="960" w:firstLineChars="300"/>
        <w:jc w:val="left"/>
        <w:rPr>
          <w:rFonts w:ascii="仿宋" w:hAnsi="仿宋" w:eastAsia="仿宋" w:cs="仿宋"/>
          <w:sz w:val="32"/>
          <w:szCs w:val="32"/>
        </w:rPr>
      </w:pPr>
      <w:r>
        <w:rPr>
          <w:rFonts w:ascii="楷体" w:hAnsi="楷体" w:eastAsia="楷体" w:cs="楷体"/>
          <w:color w:val="000000"/>
          <w:kern w:val="0"/>
          <w:sz w:val="32"/>
          <w:szCs w:val="32"/>
        </w:rPr>
        <w:t>主管部门：扶风县自然资源局</w:t>
      </w:r>
    </w:p>
    <w:p w14:paraId="7DD407C1">
      <w:pPr>
        <w:widowControl/>
        <w:spacing w:line="600" w:lineRule="exact"/>
        <w:ind w:left="2558" w:leftChars="456" w:hanging="1600" w:hangingChars="500"/>
        <w:jc w:val="left"/>
        <w:rPr>
          <w:rFonts w:ascii="仿宋" w:hAnsi="仿宋" w:eastAsia="仿宋" w:cs="仿宋"/>
          <w:sz w:val="32"/>
          <w:szCs w:val="32"/>
        </w:rPr>
      </w:pPr>
      <w:r>
        <w:rPr>
          <w:rFonts w:hint="eastAsia" w:ascii="楷体" w:hAnsi="楷体" w:eastAsia="楷体" w:cs="楷体"/>
          <w:color w:val="000000"/>
          <w:kern w:val="0"/>
          <w:sz w:val="32"/>
          <w:szCs w:val="32"/>
        </w:rPr>
        <w:t>项目单位：扶风县自然资源局</w:t>
      </w:r>
    </w:p>
    <w:p w14:paraId="530F014E">
      <w:pPr>
        <w:widowControl/>
        <w:spacing w:line="600" w:lineRule="exact"/>
        <w:ind w:firstLine="960" w:firstLineChars="300"/>
        <w:rPr>
          <w:rFonts w:ascii="仿宋" w:hAnsi="仿宋" w:eastAsia="楷体" w:cs="仿宋"/>
          <w:sz w:val="32"/>
          <w:szCs w:val="32"/>
        </w:rPr>
      </w:pPr>
      <w:r>
        <w:rPr>
          <w:rFonts w:hint="eastAsia" w:ascii="楷体" w:hAnsi="楷体" w:eastAsia="楷体" w:cs="楷体"/>
          <w:color w:val="000000"/>
          <w:kern w:val="0"/>
          <w:sz w:val="32"/>
          <w:szCs w:val="32"/>
        </w:rPr>
        <w:t>评价单位：扶风县财政局</w:t>
      </w:r>
    </w:p>
    <w:p w14:paraId="44162110">
      <w:pPr>
        <w:widowControl/>
        <w:spacing w:line="600" w:lineRule="exact"/>
        <w:ind w:firstLine="960" w:firstLineChars="300"/>
        <w:rPr>
          <w:rFonts w:ascii="宋体" w:hAnsi="宋体" w:cs="宋体"/>
          <w:spacing w:val="-1"/>
          <w:sz w:val="36"/>
          <w:szCs w:val="36"/>
          <w14:textOutline w14:w="6540" w14:cap="sq" w14:cmpd="sng" w14:algn="ctr">
            <w14:solidFill>
              <w14:srgbClr w14:val="000000"/>
            </w14:solidFill>
            <w14:prstDash w14:val="solid"/>
            <w14:bevel/>
          </w14:textOutline>
        </w:rPr>
      </w:pPr>
      <w:r>
        <w:rPr>
          <w:rFonts w:hint="eastAsia" w:ascii="楷体" w:hAnsi="楷体" w:eastAsia="楷体" w:cs="楷体"/>
          <w:color w:val="000000"/>
          <w:kern w:val="0"/>
          <w:sz w:val="32"/>
          <w:szCs w:val="32"/>
        </w:rPr>
        <w:t>评价日期：2024</w:t>
      </w:r>
      <w:r>
        <w:rPr>
          <w:rFonts w:hint="eastAsia" w:ascii="楷体" w:hAnsi="楷体" w:eastAsia="楷体" w:cs="楷体"/>
          <w:color w:val="000000"/>
          <w:kern w:val="0"/>
          <w:sz w:val="32"/>
          <w:szCs w:val="32"/>
          <w:lang w:val="en-US" w:eastAsia="zh-CN"/>
        </w:rPr>
        <w:t>年</w:t>
      </w:r>
      <w:r>
        <w:rPr>
          <w:rFonts w:hint="eastAsia" w:ascii="楷体" w:hAnsi="楷体" w:eastAsia="楷体" w:cs="楷体"/>
          <w:color w:val="000000"/>
          <w:kern w:val="0"/>
          <w:sz w:val="32"/>
          <w:szCs w:val="32"/>
        </w:rPr>
        <w:t>6</w:t>
      </w:r>
      <w:r>
        <w:rPr>
          <w:rFonts w:hint="eastAsia" w:ascii="楷体" w:hAnsi="楷体" w:eastAsia="楷体" w:cs="楷体"/>
          <w:color w:val="000000"/>
          <w:kern w:val="0"/>
          <w:sz w:val="32"/>
          <w:szCs w:val="32"/>
          <w:lang w:val="en-US" w:eastAsia="zh-CN"/>
        </w:rPr>
        <w:t>月</w:t>
      </w:r>
      <w:r>
        <w:rPr>
          <w:rFonts w:hint="eastAsia" w:ascii="楷体" w:hAnsi="楷体" w:eastAsia="楷体" w:cs="楷体"/>
          <w:color w:val="000000"/>
          <w:kern w:val="0"/>
          <w:sz w:val="32"/>
          <w:szCs w:val="32"/>
        </w:rPr>
        <w:t>17</w:t>
      </w:r>
      <w:r>
        <w:rPr>
          <w:rFonts w:hint="eastAsia" w:ascii="楷体" w:hAnsi="楷体" w:eastAsia="楷体" w:cs="楷体"/>
          <w:color w:val="000000"/>
          <w:kern w:val="0"/>
          <w:sz w:val="32"/>
          <w:szCs w:val="32"/>
          <w:lang w:val="en-US" w:eastAsia="zh-CN"/>
        </w:rPr>
        <w:t>日</w:t>
      </w:r>
      <w:bookmarkEnd w:id="0"/>
    </w:p>
    <w:p w14:paraId="3AEC9879">
      <w:pPr>
        <w:spacing w:before="480" w:after="360"/>
        <w:jc w:val="center"/>
        <w:rPr>
          <w:rFonts w:ascii="宋体" w:hAnsi="宋体"/>
          <w:b/>
          <w:bCs/>
          <w:sz w:val="36"/>
          <w:szCs w:val="36"/>
        </w:rPr>
        <w:sectPr>
          <w:footerReference r:id="rId3" w:type="default"/>
          <w:pgSz w:w="11850" w:h="16783"/>
          <w:pgMar w:top="1440" w:right="1800" w:bottom="1440" w:left="1800" w:header="567" w:footer="992" w:gutter="0"/>
          <w:pgNumType w:start="1"/>
          <w:cols w:space="720" w:num="1"/>
          <w:docGrid w:type="lines" w:linePitch="312" w:charSpace="0"/>
        </w:sectPr>
      </w:pPr>
    </w:p>
    <w:sdt>
      <w:sdtPr>
        <w:rPr>
          <w:rFonts w:ascii="宋体" w:hAnsi="宋体"/>
          <w:b/>
          <w:bCs/>
          <w:sz w:val="36"/>
          <w:szCs w:val="36"/>
        </w:rPr>
        <w:id w:val="147479055"/>
        <w:docPartObj>
          <w:docPartGallery w:val="Table of Contents"/>
          <w:docPartUnique/>
        </w:docPartObj>
      </w:sdtPr>
      <w:sdtEndPr>
        <w:rPr>
          <w:rFonts w:ascii="宋体" w:hAnsi="宋体"/>
          <w:b/>
          <w:bCs/>
          <w:sz w:val="28"/>
          <w:szCs w:val="28"/>
        </w:rPr>
      </w:sdtEndPr>
      <w:sdtContent>
        <w:p w14:paraId="27A27473">
          <w:pPr>
            <w:jc w:val="center"/>
            <w:rPr>
              <w:rFonts w:ascii="Times New Roman" w:hAnsi="Times New Roman" w:eastAsia="宋体" w:cs="Times New Roman"/>
              <w:b/>
              <w:kern w:val="2"/>
              <w:sz w:val="28"/>
              <w:szCs w:val="28"/>
              <w:lang w:val="en-US" w:eastAsia="zh-CN" w:bidi="ar-SA"/>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r>
            <w:rPr>
              <w:sz w:val="28"/>
              <w:szCs w:val="28"/>
            </w:rPr>
            <w:fldChar w:fldCharType="begin"/>
          </w:r>
          <w:r>
            <w:rPr>
              <w:sz w:val="28"/>
              <w:szCs w:val="28"/>
            </w:rPr>
            <w:instrText xml:space="preserve">TOC \o "1-2" \h \u</w:instrText>
          </w:r>
          <w:r>
            <w:rPr>
              <w:sz w:val="28"/>
              <w:szCs w:val="28"/>
            </w:rPr>
            <w:fldChar w:fldCharType="separate"/>
          </w:r>
        </w:p>
        <w:p w14:paraId="47BDBB6A">
          <w:pPr>
            <w:pStyle w:val="10"/>
            <w:tabs>
              <w:tab w:val="right" w:leader="dot" w:pos="8250"/>
            </w:tabs>
            <w:rPr>
              <w:sz w:val="28"/>
              <w:szCs w:val="24"/>
            </w:rPr>
          </w:pPr>
          <w:r>
            <w:rPr>
              <w:sz w:val="28"/>
              <w:szCs w:val="40"/>
            </w:rPr>
            <w:fldChar w:fldCharType="begin"/>
          </w:r>
          <w:r>
            <w:rPr>
              <w:sz w:val="28"/>
              <w:szCs w:val="40"/>
            </w:rPr>
            <w:instrText xml:space="preserve"> HYPERLINK \l _Toc5359 </w:instrText>
          </w:r>
          <w:r>
            <w:rPr>
              <w:sz w:val="28"/>
              <w:szCs w:val="40"/>
            </w:rPr>
            <w:fldChar w:fldCharType="separate"/>
          </w:r>
          <w:r>
            <w:rPr>
              <w:rFonts w:ascii="宋体" w:hAnsi="宋体" w:cs="宋体"/>
              <w:bCs/>
              <w:spacing w:val="-3"/>
              <w:sz w:val="28"/>
              <w:szCs w:val="48"/>
              <w14:textOutline w14:w="6540" w14:cap="sq" w14:cmpd="sng" w14:algn="ctr">
                <w14:solidFill>
                  <w14:srgbClr w14:val="000000"/>
                </w14:solidFill>
                <w14:prstDash w14:val="solid"/>
                <w14:bevel/>
              </w14:textOutline>
            </w:rPr>
            <w:t>摘</w:t>
          </w:r>
          <w:r>
            <w:rPr>
              <w:rFonts w:ascii="宋体" w:hAnsi="宋体" w:cs="宋体"/>
              <w:bCs/>
              <w:spacing w:val="27"/>
              <w:sz w:val="28"/>
              <w:szCs w:val="48"/>
            </w:rPr>
            <w:t xml:space="preserve"> </w:t>
          </w:r>
          <w:r>
            <w:rPr>
              <w:rFonts w:ascii="宋体" w:hAnsi="宋体" w:cs="宋体"/>
              <w:bCs/>
              <w:spacing w:val="-3"/>
              <w:sz w:val="28"/>
              <w:szCs w:val="48"/>
              <w14:textOutline w14:w="6540" w14:cap="sq" w14:cmpd="sng" w14:algn="ctr">
                <w14:solidFill>
                  <w14:srgbClr w14:val="000000"/>
                </w14:solidFill>
                <w14:prstDash w14:val="solid"/>
                <w14:bevel/>
              </w14:textOutline>
            </w:rPr>
            <w:t>要</w:t>
          </w:r>
          <w:r>
            <w:rPr>
              <w:sz w:val="28"/>
              <w:szCs w:val="24"/>
            </w:rPr>
            <w:tab/>
          </w:r>
          <w:r>
            <w:rPr>
              <w:sz w:val="28"/>
              <w:szCs w:val="24"/>
            </w:rPr>
            <w:fldChar w:fldCharType="begin"/>
          </w:r>
          <w:r>
            <w:rPr>
              <w:sz w:val="28"/>
              <w:szCs w:val="24"/>
            </w:rPr>
            <w:instrText xml:space="preserve"> PAGEREF _Toc5359 \h </w:instrText>
          </w:r>
          <w:r>
            <w:rPr>
              <w:sz w:val="28"/>
              <w:szCs w:val="24"/>
            </w:rPr>
            <w:fldChar w:fldCharType="separate"/>
          </w:r>
          <w:r>
            <w:rPr>
              <w:sz w:val="28"/>
              <w:szCs w:val="24"/>
            </w:rPr>
            <w:t>1</w:t>
          </w:r>
          <w:r>
            <w:rPr>
              <w:sz w:val="28"/>
              <w:szCs w:val="24"/>
            </w:rPr>
            <w:fldChar w:fldCharType="end"/>
          </w:r>
          <w:r>
            <w:rPr>
              <w:sz w:val="28"/>
              <w:szCs w:val="40"/>
            </w:rPr>
            <w:fldChar w:fldCharType="end"/>
          </w:r>
        </w:p>
        <w:p w14:paraId="4A13DBD5">
          <w:pPr>
            <w:pStyle w:val="10"/>
            <w:tabs>
              <w:tab w:val="right" w:leader="dot" w:pos="8250"/>
            </w:tabs>
            <w:rPr>
              <w:sz w:val="28"/>
              <w:szCs w:val="24"/>
            </w:rPr>
          </w:pPr>
          <w:r>
            <w:rPr>
              <w:sz w:val="28"/>
              <w:szCs w:val="40"/>
            </w:rPr>
            <w:fldChar w:fldCharType="begin"/>
          </w:r>
          <w:r>
            <w:rPr>
              <w:sz w:val="28"/>
              <w:szCs w:val="40"/>
            </w:rPr>
            <w:instrText xml:space="preserve"> HYPERLINK \l _Toc14258 </w:instrText>
          </w:r>
          <w:r>
            <w:rPr>
              <w:sz w:val="28"/>
              <w:szCs w:val="40"/>
            </w:rPr>
            <w:fldChar w:fldCharType="separate"/>
          </w:r>
          <w:r>
            <w:rPr>
              <w:rFonts w:hint="eastAsia" w:ascii="黑体" w:hAnsi="黑体" w:eastAsia="黑体" w:cs="黑体"/>
              <w:spacing w:val="-2"/>
              <w:sz w:val="28"/>
              <w:szCs w:val="44"/>
            </w:rPr>
            <w:t>一、基本情况</w:t>
          </w:r>
          <w:r>
            <w:rPr>
              <w:sz w:val="28"/>
              <w:szCs w:val="24"/>
            </w:rPr>
            <w:tab/>
          </w:r>
          <w:r>
            <w:rPr>
              <w:sz w:val="28"/>
              <w:szCs w:val="24"/>
            </w:rPr>
            <w:fldChar w:fldCharType="begin"/>
          </w:r>
          <w:r>
            <w:rPr>
              <w:sz w:val="28"/>
              <w:szCs w:val="24"/>
            </w:rPr>
            <w:instrText xml:space="preserve"> PAGEREF _Toc14258 \h </w:instrText>
          </w:r>
          <w:r>
            <w:rPr>
              <w:sz w:val="28"/>
              <w:szCs w:val="24"/>
            </w:rPr>
            <w:fldChar w:fldCharType="separate"/>
          </w:r>
          <w:r>
            <w:rPr>
              <w:sz w:val="28"/>
              <w:szCs w:val="24"/>
            </w:rPr>
            <w:t>1</w:t>
          </w:r>
          <w:r>
            <w:rPr>
              <w:sz w:val="28"/>
              <w:szCs w:val="24"/>
            </w:rPr>
            <w:fldChar w:fldCharType="end"/>
          </w:r>
          <w:r>
            <w:rPr>
              <w:sz w:val="28"/>
              <w:szCs w:val="40"/>
            </w:rPr>
            <w:fldChar w:fldCharType="end"/>
          </w:r>
        </w:p>
        <w:p w14:paraId="51DCF72D">
          <w:pPr>
            <w:pStyle w:val="11"/>
            <w:tabs>
              <w:tab w:val="right" w:leader="dot" w:pos="8250"/>
            </w:tabs>
            <w:rPr>
              <w:sz w:val="28"/>
              <w:szCs w:val="24"/>
            </w:rPr>
          </w:pPr>
          <w:r>
            <w:rPr>
              <w:sz w:val="28"/>
              <w:szCs w:val="40"/>
            </w:rPr>
            <w:fldChar w:fldCharType="begin"/>
          </w:r>
          <w:r>
            <w:rPr>
              <w:sz w:val="28"/>
              <w:szCs w:val="40"/>
            </w:rPr>
            <w:instrText xml:space="preserve"> HYPERLINK \l _Toc2465 </w:instrText>
          </w:r>
          <w:r>
            <w:rPr>
              <w:sz w:val="28"/>
              <w:szCs w:val="40"/>
            </w:rPr>
            <w:fldChar w:fldCharType="separate"/>
          </w:r>
          <w:r>
            <w:rPr>
              <w:rFonts w:hint="eastAsia" w:ascii="楷体" w:hAnsi="楷体" w:eastAsia="楷体" w:cs="楷体"/>
              <w:bCs/>
              <w:kern w:val="0"/>
              <w:sz w:val="28"/>
              <w:szCs w:val="44"/>
            </w:rPr>
            <w:t>（一）项目概况</w:t>
          </w:r>
          <w:r>
            <w:rPr>
              <w:sz w:val="28"/>
              <w:szCs w:val="24"/>
            </w:rPr>
            <w:tab/>
          </w:r>
          <w:r>
            <w:rPr>
              <w:sz w:val="28"/>
              <w:szCs w:val="24"/>
            </w:rPr>
            <w:fldChar w:fldCharType="begin"/>
          </w:r>
          <w:r>
            <w:rPr>
              <w:sz w:val="28"/>
              <w:szCs w:val="24"/>
            </w:rPr>
            <w:instrText xml:space="preserve"> PAGEREF _Toc2465 \h </w:instrText>
          </w:r>
          <w:r>
            <w:rPr>
              <w:sz w:val="28"/>
              <w:szCs w:val="24"/>
            </w:rPr>
            <w:fldChar w:fldCharType="separate"/>
          </w:r>
          <w:r>
            <w:rPr>
              <w:sz w:val="28"/>
              <w:szCs w:val="24"/>
            </w:rPr>
            <w:t>1</w:t>
          </w:r>
          <w:r>
            <w:rPr>
              <w:sz w:val="28"/>
              <w:szCs w:val="24"/>
            </w:rPr>
            <w:fldChar w:fldCharType="end"/>
          </w:r>
          <w:r>
            <w:rPr>
              <w:sz w:val="28"/>
              <w:szCs w:val="40"/>
            </w:rPr>
            <w:fldChar w:fldCharType="end"/>
          </w:r>
        </w:p>
        <w:p w14:paraId="701DBE01">
          <w:pPr>
            <w:pStyle w:val="11"/>
            <w:tabs>
              <w:tab w:val="right" w:leader="dot" w:pos="8250"/>
            </w:tabs>
            <w:rPr>
              <w:sz w:val="28"/>
              <w:szCs w:val="24"/>
            </w:rPr>
          </w:pPr>
          <w:r>
            <w:rPr>
              <w:sz w:val="28"/>
              <w:szCs w:val="40"/>
            </w:rPr>
            <w:fldChar w:fldCharType="begin"/>
          </w:r>
          <w:r>
            <w:rPr>
              <w:sz w:val="28"/>
              <w:szCs w:val="40"/>
            </w:rPr>
            <w:instrText xml:space="preserve"> HYPERLINK \l _Toc15008 </w:instrText>
          </w:r>
          <w:r>
            <w:rPr>
              <w:sz w:val="28"/>
              <w:szCs w:val="40"/>
            </w:rPr>
            <w:fldChar w:fldCharType="separate"/>
          </w:r>
          <w:r>
            <w:rPr>
              <w:rFonts w:hint="eastAsia" w:ascii="楷体" w:hAnsi="楷体" w:eastAsia="楷体" w:cs="楷体"/>
              <w:bCs/>
              <w:kern w:val="0"/>
              <w:sz w:val="28"/>
              <w:szCs w:val="44"/>
            </w:rPr>
            <w:t>（二）项目绩效目标</w:t>
          </w:r>
          <w:r>
            <w:rPr>
              <w:sz w:val="28"/>
              <w:szCs w:val="24"/>
            </w:rPr>
            <w:tab/>
          </w:r>
          <w:r>
            <w:rPr>
              <w:sz w:val="28"/>
              <w:szCs w:val="24"/>
            </w:rPr>
            <w:fldChar w:fldCharType="begin"/>
          </w:r>
          <w:r>
            <w:rPr>
              <w:sz w:val="28"/>
              <w:szCs w:val="24"/>
            </w:rPr>
            <w:instrText xml:space="preserve"> PAGEREF _Toc15008 \h </w:instrText>
          </w:r>
          <w:r>
            <w:rPr>
              <w:sz w:val="28"/>
              <w:szCs w:val="24"/>
            </w:rPr>
            <w:fldChar w:fldCharType="separate"/>
          </w:r>
          <w:r>
            <w:rPr>
              <w:sz w:val="28"/>
              <w:szCs w:val="24"/>
            </w:rPr>
            <w:t>2</w:t>
          </w:r>
          <w:r>
            <w:rPr>
              <w:sz w:val="28"/>
              <w:szCs w:val="24"/>
            </w:rPr>
            <w:fldChar w:fldCharType="end"/>
          </w:r>
          <w:r>
            <w:rPr>
              <w:sz w:val="28"/>
              <w:szCs w:val="40"/>
            </w:rPr>
            <w:fldChar w:fldCharType="end"/>
          </w:r>
        </w:p>
        <w:p w14:paraId="1A3C74E5">
          <w:pPr>
            <w:pStyle w:val="10"/>
            <w:tabs>
              <w:tab w:val="right" w:leader="dot" w:pos="8250"/>
            </w:tabs>
            <w:rPr>
              <w:sz w:val="28"/>
              <w:szCs w:val="24"/>
            </w:rPr>
          </w:pPr>
          <w:r>
            <w:rPr>
              <w:sz w:val="28"/>
              <w:szCs w:val="40"/>
            </w:rPr>
            <w:fldChar w:fldCharType="begin"/>
          </w:r>
          <w:r>
            <w:rPr>
              <w:sz w:val="28"/>
              <w:szCs w:val="40"/>
            </w:rPr>
            <w:instrText xml:space="preserve"> HYPERLINK \l _Toc29422 </w:instrText>
          </w:r>
          <w:r>
            <w:rPr>
              <w:sz w:val="28"/>
              <w:szCs w:val="40"/>
            </w:rPr>
            <w:fldChar w:fldCharType="separate"/>
          </w:r>
          <w:r>
            <w:rPr>
              <w:rFonts w:hint="eastAsia" w:ascii="黑体" w:hAnsi="黑体" w:eastAsia="黑体" w:cs="黑体"/>
              <w:spacing w:val="-2"/>
              <w:sz w:val="28"/>
              <w:szCs w:val="44"/>
            </w:rPr>
            <w:t>二、绩效评价工作开展情况</w:t>
          </w:r>
          <w:r>
            <w:rPr>
              <w:sz w:val="28"/>
              <w:szCs w:val="24"/>
            </w:rPr>
            <w:tab/>
          </w:r>
          <w:r>
            <w:rPr>
              <w:sz w:val="28"/>
              <w:szCs w:val="24"/>
            </w:rPr>
            <w:fldChar w:fldCharType="begin"/>
          </w:r>
          <w:r>
            <w:rPr>
              <w:sz w:val="28"/>
              <w:szCs w:val="24"/>
            </w:rPr>
            <w:instrText xml:space="preserve"> PAGEREF _Toc29422 \h </w:instrText>
          </w:r>
          <w:r>
            <w:rPr>
              <w:sz w:val="28"/>
              <w:szCs w:val="24"/>
            </w:rPr>
            <w:fldChar w:fldCharType="separate"/>
          </w:r>
          <w:r>
            <w:rPr>
              <w:sz w:val="28"/>
              <w:szCs w:val="24"/>
            </w:rPr>
            <w:t>3</w:t>
          </w:r>
          <w:r>
            <w:rPr>
              <w:sz w:val="28"/>
              <w:szCs w:val="24"/>
            </w:rPr>
            <w:fldChar w:fldCharType="end"/>
          </w:r>
          <w:r>
            <w:rPr>
              <w:sz w:val="28"/>
              <w:szCs w:val="40"/>
            </w:rPr>
            <w:fldChar w:fldCharType="end"/>
          </w:r>
        </w:p>
        <w:p w14:paraId="52E1AB59">
          <w:pPr>
            <w:pStyle w:val="11"/>
            <w:tabs>
              <w:tab w:val="right" w:leader="dot" w:pos="8250"/>
            </w:tabs>
            <w:rPr>
              <w:sz w:val="28"/>
              <w:szCs w:val="24"/>
            </w:rPr>
          </w:pPr>
          <w:r>
            <w:rPr>
              <w:sz w:val="28"/>
              <w:szCs w:val="40"/>
            </w:rPr>
            <w:fldChar w:fldCharType="begin"/>
          </w:r>
          <w:r>
            <w:rPr>
              <w:sz w:val="28"/>
              <w:szCs w:val="40"/>
            </w:rPr>
            <w:instrText xml:space="preserve"> HYPERLINK \l _Toc26897 </w:instrText>
          </w:r>
          <w:r>
            <w:rPr>
              <w:sz w:val="28"/>
              <w:szCs w:val="40"/>
            </w:rPr>
            <w:fldChar w:fldCharType="separate"/>
          </w:r>
          <w:r>
            <w:rPr>
              <w:rFonts w:hint="eastAsia" w:ascii="楷体" w:hAnsi="楷体" w:eastAsia="楷体" w:cs="楷体"/>
              <w:bCs/>
              <w:kern w:val="0"/>
              <w:sz w:val="28"/>
              <w:szCs w:val="44"/>
            </w:rPr>
            <w:t>（一）绩效评价目的与重点</w:t>
          </w:r>
          <w:r>
            <w:rPr>
              <w:sz w:val="28"/>
              <w:szCs w:val="24"/>
            </w:rPr>
            <w:tab/>
          </w:r>
          <w:r>
            <w:rPr>
              <w:sz w:val="28"/>
              <w:szCs w:val="24"/>
            </w:rPr>
            <w:fldChar w:fldCharType="begin"/>
          </w:r>
          <w:r>
            <w:rPr>
              <w:sz w:val="28"/>
              <w:szCs w:val="24"/>
            </w:rPr>
            <w:instrText xml:space="preserve"> PAGEREF _Toc26897 \h </w:instrText>
          </w:r>
          <w:r>
            <w:rPr>
              <w:sz w:val="28"/>
              <w:szCs w:val="24"/>
            </w:rPr>
            <w:fldChar w:fldCharType="separate"/>
          </w:r>
          <w:r>
            <w:rPr>
              <w:sz w:val="28"/>
              <w:szCs w:val="24"/>
            </w:rPr>
            <w:t>3</w:t>
          </w:r>
          <w:r>
            <w:rPr>
              <w:sz w:val="28"/>
              <w:szCs w:val="24"/>
            </w:rPr>
            <w:fldChar w:fldCharType="end"/>
          </w:r>
          <w:r>
            <w:rPr>
              <w:sz w:val="28"/>
              <w:szCs w:val="40"/>
            </w:rPr>
            <w:fldChar w:fldCharType="end"/>
          </w:r>
        </w:p>
        <w:p w14:paraId="40544DE7">
          <w:pPr>
            <w:pStyle w:val="11"/>
            <w:tabs>
              <w:tab w:val="right" w:leader="dot" w:pos="8250"/>
            </w:tabs>
            <w:rPr>
              <w:sz w:val="28"/>
              <w:szCs w:val="24"/>
            </w:rPr>
          </w:pPr>
          <w:r>
            <w:rPr>
              <w:sz w:val="28"/>
              <w:szCs w:val="40"/>
            </w:rPr>
            <w:fldChar w:fldCharType="begin"/>
          </w:r>
          <w:r>
            <w:rPr>
              <w:sz w:val="28"/>
              <w:szCs w:val="40"/>
            </w:rPr>
            <w:instrText xml:space="preserve"> HYPERLINK \l _Toc26289 </w:instrText>
          </w:r>
          <w:r>
            <w:rPr>
              <w:sz w:val="28"/>
              <w:szCs w:val="40"/>
            </w:rPr>
            <w:fldChar w:fldCharType="separate"/>
          </w:r>
          <w:r>
            <w:rPr>
              <w:rFonts w:hint="eastAsia" w:ascii="楷体" w:hAnsi="楷体" w:eastAsia="楷体" w:cs="楷体"/>
              <w:bCs/>
              <w:kern w:val="0"/>
              <w:sz w:val="28"/>
              <w:szCs w:val="44"/>
            </w:rPr>
            <w:t>（二）绩效评价指标与方法</w:t>
          </w:r>
          <w:r>
            <w:rPr>
              <w:sz w:val="28"/>
              <w:szCs w:val="24"/>
            </w:rPr>
            <w:tab/>
          </w:r>
          <w:r>
            <w:rPr>
              <w:sz w:val="28"/>
              <w:szCs w:val="24"/>
            </w:rPr>
            <w:fldChar w:fldCharType="begin"/>
          </w:r>
          <w:r>
            <w:rPr>
              <w:sz w:val="28"/>
              <w:szCs w:val="24"/>
            </w:rPr>
            <w:instrText xml:space="preserve"> PAGEREF _Toc26289 \h </w:instrText>
          </w:r>
          <w:r>
            <w:rPr>
              <w:sz w:val="28"/>
              <w:szCs w:val="24"/>
            </w:rPr>
            <w:fldChar w:fldCharType="separate"/>
          </w:r>
          <w:r>
            <w:rPr>
              <w:sz w:val="28"/>
              <w:szCs w:val="24"/>
            </w:rPr>
            <w:t>4</w:t>
          </w:r>
          <w:r>
            <w:rPr>
              <w:sz w:val="28"/>
              <w:szCs w:val="24"/>
            </w:rPr>
            <w:fldChar w:fldCharType="end"/>
          </w:r>
          <w:r>
            <w:rPr>
              <w:sz w:val="28"/>
              <w:szCs w:val="40"/>
            </w:rPr>
            <w:fldChar w:fldCharType="end"/>
          </w:r>
        </w:p>
        <w:p w14:paraId="41F48F84">
          <w:pPr>
            <w:pStyle w:val="11"/>
            <w:tabs>
              <w:tab w:val="right" w:leader="dot" w:pos="8250"/>
            </w:tabs>
            <w:rPr>
              <w:sz w:val="28"/>
              <w:szCs w:val="24"/>
            </w:rPr>
          </w:pPr>
          <w:r>
            <w:rPr>
              <w:sz w:val="28"/>
              <w:szCs w:val="40"/>
            </w:rPr>
            <w:fldChar w:fldCharType="begin"/>
          </w:r>
          <w:r>
            <w:rPr>
              <w:sz w:val="28"/>
              <w:szCs w:val="40"/>
            </w:rPr>
            <w:instrText xml:space="preserve"> HYPERLINK \l _Toc22057 </w:instrText>
          </w:r>
          <w:r>
            <w:rPr>
              <w:sz w:val="28"/>
              <w:szCs w:val="40"/>
            </w:rPr>
            <w:fldChar w:fldCharType="separate"/>
          </w:r>
          <w:r>
            <w:rPr>
              <w:rFonts w:hint="eastAsia" w:ascii="楷体" w:hAnsi="楷体" w:eastAsia="楷体" w:cs="楷体"/>
              <w:bCs/>
              <w:kern w:val="0"/>
              <w:sz w:val="28"/>
              <w:szCs w:val="44"/>
            </w:rPr>
            <w:t>（三）绩效评价工作过程</w:t>
          </w:r>
          <w:r>
            <w:rPr>
              <w:sz w:val="28"/>
              <w:szCs w:val="24"/>
            </w:rPr>
            <w:tab/>
          </w:r>
          <w:r>
            <w:rPr>
              <w:sz w:val="28"/>
              <w:szCs w:val="24"/>
            </w:rPr>
            <w:fldChar w:fldCharType="begin"/>
          </w:r>
          <w:r>
            <w:rPr>
              <w:sz w:val="28"/>
              <w:szCs w:val="24"/>
            </w:rPr>
            <w:instrText xml:space="preserve"> PAGEREF _Toc22057 \h </w:instrText>
          </w:r>
          <w:r>
            <w:rPr>
              <w:sz w:val="28"/>
              <w:szCs w:val="24"/>
            </w:rPr>
            <w:fldChar w:fldCharType="separate"/>
          </w:r>
          <w:r>
            <w:rPr>
              <w:sz w:val="28"/>
              <w:szCs w:val="24"/>
            </w:rPr>
            <w:t>7</w:t>
          </w:r>
          <w:r>
            <w:rPr>
              <w:sz w:val="28"/>
              <w:szCs w:val="24"/>
            </w:rPr>
            <w:fldChar w:fldCharType="end"/>
          </w:r>
          <w:r>
            <w:rPr>
              <w:sz w:val="28"/>
              <w:szCs w:val="40"/>
            </w:rPr>
            <w:fldChar w:fldCharType="end"/>
          </w:r>
        </w:p>
        <w:p w14:paraId="1DF0D42A">
          <w:pPr>
            <w:pStyle w:val="10"/>
            <w:tabs>
              <w:tab w:val="right" w:leader="dot" w:pos="8250"/>
            </w:tabs>
            <w:rPr>
              <w:sz w:val="28"/>
              <w:szCs w:val="24"/>
            </w:rPr>
          </w:pPr>
          <w:r>
            <w:rPr>
              <w:sz w:val="28"/>
              <w:szCs w:val="40"/>
            </w:rPr>
            <w:fldChar w:fldCharType="begin"/>
          </w:r>
          <w:r>
            <w:rPr>
              <w:sz w:val="28"/>
              <w:szCs w:val="40"/>
            </w:rPr>
            <w:instrText xml:space="preserve"> HYPERLINK \l _Toc30051 </w:instrText>
          </w:r>
          <w:r>
            <w:rPr>
              <w:sz w:val="28"/>
              <w:szCs w:val="40"/>
            </w:rPr>
            <w:fldChar w:fldCharType="separate"/>
          </w:r>
          <w:r>
            <w:rPr>
              <w:rFonts w:hint="eastAsia" w:ascii="黑体" w:hAnsi="黑体" w:eastAsia="黑体" w:cs="黑体"/>
              <w:spacing w:val="-2"/>
              <w:sz w:val="28"/>
              <w:szCs w:val="44"/>
            </w:rPr>
            <w:t>三、综合评价情况及评价结论</w:t>
          </w:r>
          <w:r>
            <w:rPr>
              <w:sz w:val="28"/>
              <w:szCs w:val="24"/>
            </w:rPr>
            <w:tab/>
          </w:r>
          <w:r>
            <w:rPr>
              <w:sz w:val="28"/>
              <w:szCs w:val="24"/>
            </w:rPr>
            <w:fldChar w:fldCharType="begin"/>
          </w:r>
          <w:r>
            <w:rPr>
              <w:sz w:val="28"/>
              <w:szCs w:val="24"/>
            </w:rPr>
            <w:instrText xml:space="preserve"> PAGEREF _Toc30051 \h </w:instrText>
          </w:r>
          <w:r>
            <w:rPr>
              <w:sz w:val="28"/>
              <w:szCs w:val="24"/>
            </w:rPr>
            <w:fldChar w:fldCharType="separate"/>
          </w:r>
          <w:r>
            <w:rPr>
              <w:sz w:val="28"/>
              <w:szCs w:val="24"/>
            </w:rPr>
            <w:t>9</w:t>
          </w:r>
          <w:r>
            <w:rPr>
              <w:sz w:val="28"/>
              <w:szCs w:val="24"/>
            </w:rPr>
            <w:fldChar w:fldCharType="end"/>
          </w:r>
          <w:r>
            <w:rPr>
              <w:sz w:val="28"/>
              <w:szCs w:val="40"/>
            </w:rPr>
            <w:fldChar w:fldCharType="end"/>
          </w:r>
        </w:p>
        <w:p w14:paraId="51CDA282">
          <w:pPr>
            <w:pStyle w:val="10"/>
            <w:tabs>
              <w:tab w:val="right" w:leader="dot" w:pos="8250"/>
            </w:tabs>
            <w:rPr>
              <w:sz w:val="28"/>
              <w:szCs w:val="24"/>
            </w:rPr>
          </w:pPr>
          <w:r>
            <w:rPr>
              <w:sz w:val="28"/>
              <w:szCs w:val="40"/>
            </w:rPr>
            <w:fldChar w:fldCharType="begin"/>
          </w:r>
          <w:r>
            <w:rPr>
              <w:sz w:val="28"/>
              <w:szCs w:val="40"/>
            </w:rPr>
            <w:instrText xml:space="preserve"> HYPERLINK \l _Toc6847 </w:instrText>
          </w:r>
          <w:r>
            <w:rPr>
              <w:sz w:val="28"/>
              <w:szCs w:val="40"/>
            </w:rPr>
            <w:fldChar w:fldCharType="separate"/>
          </w:r>
          <w:r>
            <w:rPr>
              <w:rFonts w:hint="eastAsia" w:ascii="黑体" w:hAnsi="黑体" w:eastAsia="黑体" w:cs="黑体"/>
              <w:spacing w:val="-2"/>
              <w:sz w:val="28"/>
              <w:szCs w:val="44"/>
            </w:rPr>
            <w:t>四、绩效评价指标分析</w:t>
          </w:r>
          <w:r>
            <w:rPr>
              <w:sz w:val="28"/>
              <w:szCs w:val="24"/>
            </w:rPr>
            <w:tab/>
          </w:r>
          <w:r>
            <w:rPr>
              <w:sz w:val="28"/>
              <w:szCs w:val="24"/>
            </w:rPr>
            <w:fldChar w:fldCharType="begin"/>
          </w:r>
          <w:r>
            <w:rPr>
              <w:sz w:val="28"/>
              <w:szCs w:val="24"/>
            </w:rPr>
            <w:instrText xml:space="preserve"> PAGEREF _Toc6847 \h </w:instrText>
          </w:r>
          <w:r>
            <w:rPr>
              <w:sz w:val="28"/>
              <w:szCs w:val="24"/>
            </w:rPr>
            <w:fldChar w:fldCharType="separate"/>
          </w:r>
          <w:r>
            <w:rPr>
              <w:sz w:val="28"/>
              <w:szCs w:val="24"/>
            </w:rPr>
            <w:t>10</w:t>
          </w:r>
          <w:r>
            <w:rPr>
              <w:sz w:val="28"/>
              <w:szCs w:val="24"/>
            </w:rPr>
            <w:fldChar w:fldCharType="end"/>
          </w:r>
          <w:r>
            <w:rPr>
              <w:sz w:val="28"/>
              <w:szCs w:val="40"/>
            </w:rPr>
            <w:fldChar w:fldCharType="end"/>
          </w:r>
        </w:p>
        <w:p w14:paraId="63C80208">
          <w:pPr>
            <w:pStyle w:val="11"/>
            <w:tabs>
              <w:tab w:val="right" w:leader="dot" w:pos="8250"/>
            </w:tabs>
            <w:rPr>
              <w:sz w:val="28"/>
              <w:szCs w:val="24"/>
            </w:rPr>
          </w:pPr>
          <w:r>
            <w:rPr>
              <w:sz w:val="28"/>
              <w:szCs w:val="40"/>
            </w:rPr>
            <w:fldChar w:fldCharType="begin"/>
          </w:r>
          <w:r>
            <w:rPr>
              <w:sz w:val="28"/>
              <w:szCs w:val="40"/>
            </w:rPr>
            <w:instrText xml:space="preserve"> HYPERLINK \l _Toc32191 </w:instrText>
          </w:r>
          <w:r>
            <w:rPr>
              <w:sz w:val="28"/>
              <w:szCs w:val="40"/>
            </w:rPr>
            <w:fldChar w:fldCharType="separate"/>
          </w:r>
          <w:r>
            <w:rPr>
              <w:rFonts w:hint="eastAsia" w:ascii="楷体_GB2312" w:hAnsi="楷体_GB2312" w:eastAsia="楷体_GB2312" w:cs="楷体_GB2312"/>
              <w:bCs/>
              <w:kern w:val="0"/>
              <w:sz w:val="28"/>
              <w:szCs w:val="44"/>
            </w:rPr>
            <w:t>（一）决策指标</w:t>
          </w:r>
          <w:r>
            <w:rPr>
              <w:sz w:val="28"/>
              <w:szCs w:val="24"/>
            </w:rPr>
            <w:tab/>
          </w:r>
          <w:r>
            <w:rPr>
              <w:sz w:val="28"/>
              <w:szCs w:val="24"/>
            </w:rPr>
            <w:fldChar w:fldCharType="begin"/>
          </w:r>
          <w:r>
            <w:rPr>
              <w:sz w:val="28"/>
              <w:szCs w:val="24"/>
            </w:rPr>
            <w:instrText xml:space="preserve"> PAGEREF _Toc32191 \h </w:instrText>
          </w:r>
          <w:r>
            <w:rPr>
              <w:sz w:val="28"/>
              <w:szCs w:val="24"/>
            </w:rPr>
            <w:fldChar w:fldCharType="separate"/>
          </w:r>
          <w:r>
            <w:rPr>
              <w:sz w:val="28"/>
              <w:szCs w:val="24"/>
            </w:rPr>
            <w:t>10</w:t>
          </w:r>
          <w:r>
            <w:rPr>
              <w:sz w:val="28"/>
              <w:szCs w:val="24"/>
            </w:rPr>
            <w:fldChar w:fldCharType="end"/>
          </w:r>
          <w:r>
            <w:rPr>
              <w:sz w:val="28"/>
              <w:szCs w:val="40"/>
            </w:rPr>
            <w:fldChar w:fldCharType="end"/>
          </w:r>
        </w:p>
        <w:p w14:paraId="44E1DE68">
          <w:pPr>
            <w:pStyle w:val="11"/>
            <w:tabs>
              <w:tab w:val="right" w:leader="dot" w:pos="8250"/>
            </w:tabs>
            <w:rPr>
              <w:sz w:val="28"/>
              <w:szCs w:val="24"/>
            </w:rPr>
          </w:pPr>
          <w:r>
            <w:rPr>
              <w:sz w:val="28"/>
              <w:szCs w:val="40"/>
            </w:rPr>
            <w:fldChar w:fldCharType="begin"/>
          </w:r>
          <w:r>
            <w:rPr>
              <w:sz w:val="28"/>
              <w:szCs w:val="40"/>
            </w:rPr>
            <w:instrText xml:space="preserve"> HYPERLINK \l _Toc1779 </w:instrText>
          </w:r>
          <w:r>
            <w:rPr>
              <w:sz w:val="28"/>
              <w:szCs w:val="40"/>
            </w:rPr>
            <w:fldChar w:fldCharType="separate"/>
          </w:r>
          <w:r>
            <w:rPr>
              <w:rFonts w:hint="eastAsia" w:ascii="楷体_GB2312" w:hAnsi="楷体_GB2312" w:eastAsia="楷体_GB2312" w:cs="楷体_GB2312"/>
              <w:bCs/>
              <w:kern w:val="0"/>
              <w:sz w:val="28"/>
              <w:szCs w:val="44"/>
            </w:rPr>
            <w:t>（二）过程指标</w:t>
          </w:r>
          <w:r>
            <w:rPr>
              <w:sz w:val="28"/>
              <w:szCs w:val="24"/>
            </w:rPr>
            <w:tab/>
          </w:r>
          <w:r>
            <w:rPr>
              <w:sz w:val="28"/>
              <w:szCs w:val="24"/>
            </w:rPr>
            <w:fldChar w:fldCharType="begin"/>
          </w:r>
          <w:r>
            <w:rPr>
              <w:sz w:val="28"/>
              <w:szCs w:val="24"/>
            </w:rPr>
            <w:instrText xml:space="preserve"> PAGEREF _Toc1779 \h </w:instrText>
          </w:r>
          <w:r>
            <w:rPr>
              <w:sz w:val="28"/>
              <w:szCs w:val="24"/>
            </w:rPr>
            <w:fldChar w:fldCharType="separate"/>
          </w:r>
          <w:r>
            <w:rPr>
              <w:sz w:val="28"/>
              <w:szCs w:val="24"/>
            </w:rPr>
            <w:t>12</w:t>
          </w:r>
          <w:r>
            <w:rPr>
              <w:sz w:val="28"/>
              <w:szCs w:val="24"/>
            </w:rPr>
            <w:fldChar w:fldCharType="end"/>
          </w:r>
          <w:r>
            <w:rPr>
              <w:sz w:val="28"/>
              <w:szCs w:val="40"/>
            </w:rPr>
            <w:fldChar w:fldCharType="end"/>
          </w:r>
        </w:p>
        <w:p w14:paraId="57269C80">
          <w:pPr>
            <w:pStyle w:val="11"/>
            <w:tabs>
              <w:tab w:val="right" w:leader="dot" w:pos="8250"/>
            </w:tabs>
            <w:rPr>
              <w:sz w:val="28"/>
              <w:szCs w:val="24"/>
            </w:rPr>
          </w:pPr>
          <w:r>
            <w:rPr>
              <w:sz w:val="28"/>
              <w:szCs w:val="40"/>
            </w:rPr>
            <w:fldChar w:fldCharType="begin"/>
          </w:r>
          <w:r>
            <w:rPr>
              <w:sz w:val="28"/>
              <w:szCs w:val="40"/>
            </w:rPr>
            <w:instrText xml:space="preserve"> HYPERLINK \l _Toc4715 </w:instrText>
          </w:r>
          <w:r>
            <w:rPr>
              <w:sz w:val="28"/>
              <w:szCs w:val="40"/>
            </w:rPr>
            <w:fldChar w:fldCharType="separate"/>
          </w:r>
          <w:r>
            <w:rPr>
              <w:rFonts w:hint="eastAsia" w:ascii="楷体_GB2312" w:hAnsi="楷体_GB2312" w:eastAsia="楷体_GB2312" w:cs="楷体_GB2312"/>
              <w:bCs/>
              <w:kern w:val="0"/>
              <w:sz w:val="28"/>
              <w:szCs w:val="44"/>
            </w:rPr>
            <w:t>（三）产出指标</w:t>
          </w:r>
          <w:r>
            <w:rPr>
              <w:sz w:val="28"/>
              <w:szCs w:val="24"/>
            </w:rPr>
            <w:tab/>
          </w:r>
          <w:r>
            <w:rPr>
              <w:sz w:val="28"/>
              <w:szCs w:val="24"/>
            </w:rPr>
            <w:fldChar w:fldCharType="begin"/>
          </w:r>
          <w:r>
            <w:rPr>
              <w:sz w:val="28"/>
              <w:szCs w:val="24"/>
            </w:rPr>
            <w:instrText xml:space="preserve"> PAGEREF _Toc4715 \h </w:instrText>
          </w:r>
          <w:r>
            <w:rPr>
              <w:sz w:val="28"/>
              <w:szCs w:val="24"/>
            </w:rPr>
            <w:fldChar w:fldCharType="separate"/>
          </w:r>
          <w:r>
            <w:rPr>
              <w:sz w:val="28"/>
              <w:szCs w:val="24"/>
            </w:rPr>
            <w:t>13</w:t>
          </w:r>
          <w:r>
            <w:rPr>
              <w:sz w:val="28"/>
              <w:szCs w:val="24"/>
            </w:rPr>
            <w:fldChar w:fldCharType="end"/>
          </w:r>
          <w:r>
            <w:rPr>
              <w:sz w:val="28"/>
              <w:szCs w:val="40"/>
            </w:rPr>
            <w:fldChar w:fldCharType="end"/>
          </w:r>
        </w:p>
        <w:p w14:paraId="77EDD9F0">
          <w:pPr>
            <w:pStyle w:val="11"/>
            <w:tabs>
              <w:tab w:val="right" w:leader="dot" w:pos="8250"/>
            </w:tabs>
            <w:rPr>
              <w:sz w:val="28"/>
              <w:szCs w:val="24"/>
            </w:rPr>
          </w:pPr>
          <w:r>
            <w:rPr>
              <w:sz w:val="28"/>
              <w:szCs w:val="40"/>
            </w:rPr>
            <w:fldChar w:fldCharType="begin"/>
          </w:r>
          <w:r>
            <w:rPr>
              <w:sz w:val="28"/>
              <w:szCs w:val="40"/>
            </w:rPr>
            <w:instrText xml:space="preserve"> HYPERLINK \l _Toc437 </w:instrText>
          </w:r>
          <w:r>
            <w:rPr>
              <w:sz w:val="28"/>
              <w:szCs w:val="40"/>
            </w:rPr>
            <w:fldChar w:fldCharType="separate"/>
          </w:r>
          <w:r>
            <w:rPr>
              <w:rFonts w:hint="eastAsia" w:ascii="楷体_GB2312" w:hAnsi="楷体_GB2312" w:eastAsia="楷体_GB2312" w:cs="楷体_GB2312"/>
              <w:bCs/>
              <w:kern w:val="0"/>
              <w:sz w:val="28"/>
              <w:szCs w:val="44"/>
            </w:rPr>
            <w:t>（四）效益指标</w:t>
          </w:r>
          <w:r>
            <w:rPr>
              <w:sz w:val="28"/>
              <w:szCs w:val="24"/>
            </w:rPr>
            <w:tab/>
          </w:r>
          <w:r>
            <w:rPr>
              <w:sz w:val="28"/>
              <w:szCs w:val="24"/>
            </w:rPr>
            <w:fldChar w:fldCharType="begin"/>
          </w:r>
          <w:r>
            <w:rPr>
              <w:sz w:val="28"/>
              <w:szCs w:val="24"/>
            </w:rPr>
            <w:instrText xml:space="preserve"> PAGEREF _Toc437 \h </w:instrText>
          </w:r>
          <w:r>
            <w:rPr>
              <w:sz w:val="28"/>
              <w:szCs w:val="24"/>
            </w:rPr>
            <w:fldChar w:fldCharType="separate"/>
          </w:r>
          <w:r>
            <w:rPr>
              <w:sz w:val="28"/>
              <w:szCs w:val="24"/>
            </w:rPr>
            <w:t>15</w:t>
          </w:r>
          <w:r>
            <w:rPr>
              <w:sz w:val="28"/>
              <w:szCs w:val="24"/>
            </w:rPr>
            <w:fldChar w:fldCharType="end"/>
          </w:r>
          <w:r>
            <w:rPr>
              <w:sz w:val="28"/>
              <w:szCs w:val="40"/>
            </w:rPr>
            <w:fldChar w:fldCharType="end"/>
          </w:r>
        </w:p>
        <w:p w14:paraId="7A0C77B9">
          <w:pPr>
            <w:pStyle w:val="10"/>
            <w:tabs>
              <w:tab w:val="right" w:leader="dot" w:pos="8250"/>
            </w:tabs>
            <w:rPr>
              <w:sz w:val="28"/>
              <w:szCs w:val="24"/>
            </w:rPr>
          </w:pPr>
          <w:r>
            <w:rPr>
              <w:sz w:val="28"/>
              <w:szCs w:val="40"/>
            </w:rPr>
            <w:fldChar w:fldCharType="begin"/>
          </w:r>
          <w:r>
            <w:rPr>
              <w:sz w:val="28"/>
              <w:szCs w:val="40"/>
            </w:rPr>
            <w:instrText xml:space="preserve"> HYPERLINK \l _Toc10740 </w:instrText>
          </w:r>
          <w:r>
            <w:rPr>
              <w:sz w:val="28"/>
              <w:szCs w:val="40"/>
            </w:rPr>
            <w:fldChar w:fldCharType="separate"/>
          </w:r>
          <w:r>
            <w:rPr>
              <w:rFonts w:hint="eastAsia" w:ascii="黑体" w:hAnsi="黑体" w:eastAsia="黑体" w:cs="黑体"/>
              <w:spacing w:val="-2"/>
              <w:sz w:val="28"/>
              <w:szCs w:val="44"/>
              <w:lang w:val="en-US" w:eastAsia="zh-CN"/>
            </w:rPr>
            <w:t>五</w:t>
          </w:r>
          <w:r>
            <w:rPr>
              <w:rFonts w:hint="eastAsia" w:ascii="黑体" w:hAnsi="黑体" w:eastAsia="黑体" w:cs="黑体"/>
              <w:spacing w:val="-2"/>
              <w:sz w:val="28"/>
              <w:szCs w:val="44"/>
            </w:rPr>
            <w:t>、存在的问题</w:t>
          </w:r>
          <w:r>
            <w:rPr>
              <w:sz w:val="28"/>
              <w:szCs w:val="24"/>
            </w:rPr>
            <w:tab/>
          </w:r>
          <w:r>
            <w:rPr>
              <w:sz w:val="28"/>
              <w:szCs w:val="24"/>
            </w:rPr>
            <w:fldChar w:fldCharType="begin"/>
          </w:r>
          <w:r>
            <w:rPr>
              <w:sz w:val="28"/>
              <w:szCs w:val="24"/>
            </w:rPr>
            <w:instrText xml:space="preserve"> PAGEREF _Toc10740 \h </w:instrText>
          </w:r>
          <w:r>
            <w:rPr>
              <w:sz w:val="28"/>
              <w:szCs w:val="24"/>
            </w:rPr>
            <w:fldChar w:fldCharType="separate"/>
          </w:r>
          <w:r>
            <w:rPr>
              <w:sz w:val="28"/>
              <w:szCs w:val="24"/>
            </w:rPr>
            <w:t>15</w:t>
          </w:r>
          <w:r>
            <w:rPr>
              <w:sz w:val="28"/>
              <w:szCs w:val="24"/>
            </w:rPr>
            <w:fldChar w:fldCharType="end"/>
          </w:r>
          <w:r>
            <w:rPr>
              <w:sz w:val="28"/>
              <w:szCs w:val="40"/>
            </w:rPr>
            <w:fldChar w:fldCharType="end"/>
          </w:r>
        </w:p>
        <w:p w14:paraId="19E4B635">
          <w:pPr>
            <w:pStyle w:val="11"/>
            <w:tabs>
              <w:tab w:val="right" w:leader="dot" w:pos="8250"/>
            </w:tabs>
            <w:rPr>
              <w:sz w:val="28"/>
              <w:szCs w:val="24"/>
            </w:rPr>
          </w:pPr>
          <w:r>
            <w:rPr>
              <w:sz w:val="28"/>
              <w:szCs w:val="40"/>
            </w:rPr>
            <w:fldChar w:fldCharType="begin"/>
          </w:r>
          <w:r>
            <w:rPr>
              <w:sz w:val="28"/>
              <w:szCs w:val="40"/>
            </w:rPr>
            <w:instrText xml:space="preserve"> HYPERLINK \l _Toc3407 </w:instrText>
          </w:r>
          <w:r>
            <w:rPr>
              <w:sz w:val="28"/>
              <w:szCs w:val="40"/>
            </w:rPr>
            <w:fldChar w:fldCharType="separate"/>
          </w:r>
          <w:r>
            <w:rPr>
              <w:rFonts w:hint="eastAsia" w:ascii="楷体_GB2312" w:hAnsi="楷体_GB2312" w:eastAsia="楷体_GB2312" w:cs="楷体_GB2312"/>
              <w:bCs/>
              <w:kern w:val="0"/>
              <w:sz w:val="28"/>
              <w:szCs w:val="44"/>
              <w:lang w:eastAsia="zh-CN"/>
            </w:rPr>
            <w:t>（</w:t>
          </w:r>
          <w:r>
            <w:rPr>
              <w:rFonts w:hint="eastAsia" w:ascii="楷体_GB2312" w:hAnsi="楷体_GB2312" w:eastAsia="楷体_GB2312" w:cs="楷体_GB2312"/>
              <w:bCs/>
              <w:kern w:val="0"/>
              <w:sz w:val="28"/>
              <w:szCs w:val="44"/>
              <w:lang w:val="en-US" w:eastAsia="zh-CN"/>
            </w:rPr>
            <w:t>一</w:t>
          </w:r>
          <w:r>
            <w:rPr>
              <w:rFonts w:hint="eastAsia" w:ascii="楷体_GB2312" w:hAnsi="楷体_GB2312" w:eastAsia="楷体_GB2312" w:cs="楷体_GB2312"/>
              <w:bCs/>
              <w:kern w:val="0"/>
              <w:sz w:val="28"/>
              <w:szCs w:val="44"/>
              <w:lang w:eastAsia="zh-CN"/>
            </w:rPr>
            <w:t>）项目</w:t>
          </w:r>
          <w:r>
            <w:rPr>
              <w:rFonts w:hint="eastAsia" w:ascii="楷体_GB2312" w:hAnsi="楷体_GB2312" w:eastAsia="楷体_GB2312" w:cs="楷体_GB2312"/>
              <w:bCs/>
              <w:kern w:val="0"/>
              <w:sz w:val="28"/>
              <w:szCs w:val="44"/>
              <w:lang w:val="en-US" w:eastAsia="zh-CN"/>
            </w:rPr>
            <w:t>单位未提供</w:t>
          </w:r>
          <w:r>
            <w:rPr>
              <w:rFonts w:hint="eastAsia" w:ascii="楷体_GB2312" w:hAnsi="楷体_GB2312" w:eastAsia="楷体_GB2312" w:cs="楷体_GB2312"/>
              <w:bCs/>
              <w:kern w:val="0"/>
              <w:sz w:val="28"/>
              <w:szCs w:val="44"/>
              <w:lang w:eastAsia="zh-CN"/>
            </w:rPr>
            <w:t>绩效目标申报</w:t>
          </w:r>
          <w:r>
            <w:rPr>
              <w:rFonts w:hint="eastAsia" w:ascii="楷体_GB2312" w:hAnsi="楷体_GB2312" w:eastAsia="楷体_GB2312" w:cs="楷体_GB2312"/>
              <w:bCs/>
              <w:kern w:val="0"/>
              <w:sz w:val="28"/>
              <w:szCs w:val="44"/>
              <w:lang w:val="en-US" w:eastAsia="zh-CN"/>
            </w:rPr>
            <w:t>表</w:t>
          </w:r>
          <w:r>
            <w:rPr>
              <w:sz w:val="28"/>
              <w:szCs w:val="24"/>
            </w:rPr>
            <w:tab/>
          </w:r>
          <w:r>
            <w:rPr>
              <w:sz w:val="28"/>
              <w:szCs w:val="24"/>
            </w:rPr>
            <w:fldChar w:fldCharType="begin"/>
          </w:r>
          <w:r>
            <w:rPr>
              <w:sz w:val="28"/>
              <w:szCs w:val="24"/>
            </w:rPr>
            <w:instrText xml:space="preserve"> PAGEREF _Toc3407 \h </w:instrText>
          </w:r>
          <w:r>
            <w:rPr>
              <w:sz w:val="28"/>
              <w:szCs w:val="24"/>
            </w:rPr>
            <w:fldChar w:fldCharType="separate"/>
          </w:r>
          <w:r>
            <w:rPr>
              <w:sz w:val="28"/>
              <w:szCs w:val="24"/>
            </w:rPr>
            <w:t>15</w:t>
          </w:r>
          <w:r>
            <w:rPr>
              <w:sz w:val="28"/>
              <w:szCs w:val="24"/>
            </w:rPr>
            <w:fldChar w:fldCharType="end"/>
          </w:r>
          <w:r>
            <w:rPr>
              <w:sz w:val="28"/>
              <w:szCs w:val="40"/>
            </w:rPr>
            <w:fldChar w:fldCharType="end"/>
          </w:r>
        </w:p>
        <w:p w14:paraId="460F01C9">
          <w:pPr>
            <w:pStyle w:val="11"/>
            <w:tabs>
              <w:tab w:val="right" w:leader="dot" w:pos="8250"/>
            </w:tabs>
            <w:rPr>
              <w:sz w:val="28"/>
              <w:szCs w:val="24"/>
            </w:rPr>
          </w:pPr>
          <w:r>
            <w:rPr>
              <w:sz w:val="28"/>
              <w:szCs w:val="40"/>
            </w:rPr>
            <w:fldChar w:fldCharType="begin"/>
          </w:r>
          <w:r>
            <w:rPr>
              <w:sz w:val="28"/>
              <w:szCs w:val="40"/>
            </w:rPr>
            <w:instrText xml:space="preserve"> HYPERLINK \l _Toc21410 </w:instrText>
          </w:r>
          <w:r>
            <w:rPr>
              <w:sz w:val="28"/>
              <w:szCs w:val="40"/>
            </w:rPr>
            <w:fldChar w:fldCharType="separate"/>
          </w:r>
          <w:r>
            <w:rPr>
              <w:rFonts w:hint="eastAsia" w:ascii="楷体_GB2312" w:hAnsi="楷体_GB2312" w:eastAsia="楷体_GB2312" w:cs="楷体_GB2312"/>
              <w:bCs/>
              <w:kern w:val="0"/>
              <w:sz w:val="28"/>
              <w:szCs w:val="44"/>
              <w:lang w:eastAsia="zh-CN"/>
            </w:rPr>
            <w:t>（</w:t>
          </w:r>
          <w:r>
            <w:rPr>
              <w:rFonts w:hint="eastAsia" w:ascii="楷体_GB2312" w:hAnsi="楷体_GB2312" w:eastAsia="楷体_GB2312" w:cs="楷体_GB2312"/>
              <w:bCs/>
              <w:kern w:val="0"/>
              <w:sz w:val="28"/>
              <w:szCs w:val="44"/>
              <w:lang w:val="en-US" w:eastAsia="zh-CN"/>
            </w:rPr>
            <w:t>二</w:t>
          </w:r>
          <w:r>
            <w:rPr>
              <w:rFonts w:hint="eastAsia" w:ascii="楷体_GB2312" w:hAnsi="楷体_GB2312" w:eastAsia="楷体_GB2312" w:cs="楷体_GB2312"/>
              <w:bCs/>
              <w:kern w:val="0"/>
              <w:sz w:val="28"/>
              <w:szCs w:val="44"/>
              <w:lang w:eastAsia="zh-CN"/>
            </w:rPr>
            <w:t>）</w:t>
          </w:r>
          <w:r>
            <w:rPr>
              <w:rFonts w:hint="eastAsia" w:ascii="楷体_GB2312" w:hAnsi="楷体_GB2312" w:eastAsia="楷体_GB2312" w:cs="楷体_GB2312"/>
              <w:bCs/>
              <w:kern w:val="0"/>
              <w:sz w:val="28"/>
              <w:szCs w:val="44"/>
            </w:rPr>
            <w:t>管理制度不健全，绩效管理有待加强</w:t>
          </w:r>
          <w:r>
            <w:rPr>
              <w:sz w:val="28"/>
              <w:szCs w:val="24"/>
            </w:rPr>
            <w:tab/>
          </w:r>
          <w:r>
            <w:rPr>
              <w:sz w:val="28"/>
              <w:szCs w:val="24"/>
            </w:rPr>
            <w:fldChar w:fldCharType="begin"/>
          </w:r>
          <w:r>
            <w:rPr>
              <w:sz w:val="28"/>
              <w:szCs w:val="24"/>
            </w:rPr>
            <w:instrText xml:space="preserve"> PAGEREF _Toc21410 \h </w:instrText>
          </w:r>
          <w:r>
            <w:rPr>
              <w:sz w:val="28"/>
              <w:szCs w:val="24"/>
            </w:rPr>
            <w:fldChar w:fldCharType="separate"/>
          </w:r>
          <w:r>
            <w:rPr>
              <w:sz w:val="28"/>
              <w:szCs w:val="24"/>
            </w:rPr>
            <w:t>15</w:t>
          </w:r>
          <w:r>
            <w:rPr>
              <w:sz w:val="28"/>
              <w:szCs w:val="24"/>
            </w:rPr>
            <w:fldChar w:fldCharType="end"/>
          </w:r>
          <w:r>
            <w:rPr>
              <w:sz w:val="28"/>
              <w:szCs w:val="40"/>
            </w:rPr>
            <w:fldChar w:fldCharType="end"/>
          </w:r>
        </w:p>
        <w:p w14:paraId="59A7BC18">
          <w:pPr>
            <w:pStyle w:val="11"/>
            <w:tabs>
              <w:tab w:val="right" w:leader="dot" w:pos="8250"/>
            </w:tabs>
            <w:rPr>
              <w:sz w:val="28"/>
              <w:szCs w:val="24"/>
            </w:rPr>
          </w:pPr>
          <w:r>
            <w:rPr>
              <w:sz w:val="28"/>
              <w:szCs w:val="40"/>
            </w:rPr>
            <w:fldChar w:fldCharType="begin"/>
          </w:r>
          <w:r>
            <w:rPr>
              <w:sz w:val="28"/>
              <w:szCs w:val="40"/>
            </w:rPr>
            <w:instrText xml:space="preserve"> HYPERLINK \l _Toc24942 </w:instrText>
          </w:r>
          <w:r>
            <w:rPr>
              <w:sz w:val="28"/>
              <w:szCs w:val="40"/>
            </w:rPr>
            <w:fldChar w:fldCharType="separate"/>
          </w:r>
          <w:r>
            <w:rPr>
              <w:rFonts w:hint="eastAsia" w:ascii="楷体_GB2312" w:hAnsi="楷体_GB2312" w:eastAsia="楷体_GB2312" w:cs="楷体_GB2312"/>
              <w:bCs/>
              <w:kern w:val="0"/>
              <w:sz w:val="28"/>
              <w:szCs w:val="44"/>
              <w:lang w:eastAsia="zh-CN"/>
            </w:rPr>
            <w:t>（</w:t>
          </w:r>
          <w:r>
            <w:rPr>
              <w:rFonts w:hint="eastAsia" w:ascii="楷体_GB2312" w:hAnsi="楷体_GB2312" w:eastAsia="楷体_GB2312" w:cs="楷体_GB2312"/>
              <w:bCs/>
              <w:kern w:val="0"/>
              <w:sz w:val="28"/>
              <w:szCs w:val="44"/>
              <w:lang w:val="en-US" w:eastAsia="zh-CN"/>
            </w:rPr>
            <w:t>三</w:t>
          </w:r>
          <w:r>
            <w:rPr>
              <w:rFonts w:hint="eastAsia" w:ascii="楷体_GB2312" w:hAnsi="楷体_GB2312" w:eastAsia="楷体_GB2312" w:cs="楷体_GB2312"/>
              <w:bCs/>
              <w:kern w:val="0"/>
              <w:sz w:val="28"/>
              <w:szCs w:val="44"/>
              <w:lang w:eastAsia="zh-CN"/>
            </w:rPr>
            <w:t>）项目实施单位未进行绩效自评</w:t>
          </w:r>
          <w:r>
            <w:rPr>
              <w:sz w:val="28"/>
              <w:szCs w:val="24"/>
            </w:rPr>
            <w:tab/>
          </w:r>
          <w:r>
            <w:rPr>
              <w:sz w:val="28"/>
              <w:szCs w:val="24"/>
            </w:rPr>
            <w:fldChar w:fldCharType="begin"/>
          </w:r>
          <w:r>
            <w:rPr>
              <w:sz w:val="28"/>
              <w:szCs w:val="24"/>
            </w:rPr>
            <w:instrText xml:space="preserve"> PAGEREF _Toc24942 \h </w:instrText>
          </w:r>
          <w:r>
            <w:rPr>
              <w:sz w:val="28"/>
              <w:szCs w:val="24"/>
            </w:rPr>
            <w:fldChar w:fldCharType="separate"/>
          </w:r>
          <w:r>
            <w:rPr>
              <w:sz w:val="28"/>
              <w:szCs w:val="24"/>
            </w:rPr>
            <w:t>15</w:t>
          </w:r>
          <w:r>
            <w:rPr>
              <w:sz w:val="28"/>
              <w:szCs w:val="24"/>
            </w:rPr>
            <w:fldChar w:fldCharType="end"/>
          </w:r>
          <w:r>
            <w:rPr>
              <w:sz w:val="28"/>
              <w:szCs w:val="40"/>
            </w:rPr>
            <w:fldChar w:fldCharType="end"/>
          </w:r>
        </w:p>
        <w:p w14:paraId="0FE22D19">
          <w:pPr>
            <w:pStyle w:val="10"/>
            <w:tabs>
              <w:tab w:val="right" w:leader="dot" w:pos="8250"/>
            </w:tabs>
            <w:rPr>
              <w:sz w:val="28"/>
              <w:szCs w:val="24"/>
            </w:rPr>
          </w:pPr>
          <w:r>
            <w:rPr>
              <w:sz w:val="28"/>
              <w:szCs w:val="40"/>
            </w:rPr>
            <w:fldChar w:fldCharType="begin"/>
          </w:r>
          <w:r>
            <w:rPr>
              <w:sz w:val="28"/>
              <w:szCs w:val="40"/>
            </w:rPr>
            <w:instrText xml:space="preserve"> HYPERLINK \l _Toc16364 </w:instrText>
          </w:r>
          <w:r>
            <w:rPr>
              <w:sz w:val="28"/>
              <w:szCs w:val="40"/>
            </w:rPr>
            <w:fldChar w:fldCharType="separate"/>
          </w:r>
          <w:r>
            <w:rPr>
              <w:rFonts w:hint="eastAsia" w:ascii="黑体" w:hAnsi="黑体" w:eastAsia="黑体" w:cs="黑体"/>
              <w:spacing w:val="-2"/>
              <w:sz w:val="28"/>
              <w:szCs w:val="44"/>
              <w:lang w:val="en-US" w:eastAsia="zh-CN"/>
            </w:rPr>
            <w:t>六</w:t>
          </w:r>
          <w:r>
            <w:rPr>
              <w:rFonts w:hint="eastAsia" w:ascii="黑体" w:hAnsi="黑体" w:eastAsia="黑体" w:cs="黑体"/>
              <w:spacing w:val="-2"/>
              <w:sz w:val="28"/>
              <w:szCs w:val="44"/>
            </w:rPr>
            <w:t>、建议</w:t>
          </w:r>
          <w:r>
            <w:rPr>
              <w:sz w:val="28"/>
              <w:szCs w:val="24"/>
            </w:rPr>
            <w:tab/>
          </w:r>
          <w:r>
            <w:rPr>
              <w:sz w:val="28"/>
              <w:szCs w:val="24"/>
            </w:rPr>
            <w:fldChar w:fldCharType="begin"/>
          </w:r>
          <w:r>
            <w:rPr>
              <w:sz w:val="28"/>
              <w:szCs w:val="24"/>
            </w:rPr>
            <w:instrText xml:space="preserve"> PAGEREF _Toc16364 \h </w:instrText>
          </w:r>
          <w:r>
            <w:rPr>
              <w:sz w:val="28"/>
              <w:szCs w:val="24"/>
            </w:rPr>
            <w:fldChar w:fldCharType="separate"/>
          </w:r>
          <w:r>
            <w:rPr>
              <w:sz w:val="28"/>
              <w:szCs w:val="24"/>
            </w:rPr>
            <w:t>16</w:t>
          </w:r>
          <w:r>
            <w:rPr>
              <w:sz w:val="28"/>
              <w:szCs w:val="24"/>
            </w:rPr>
            <w:fldChar w:fldCharType="end"/>
          </w:r>
          <w:r>
            <w:rPr>
              <w:sz w:val="28"/>
              <w:szCs w:val="40"/>
            </w:rPr>
            <w:fldChar w:fldCharType="end"/>
          </w:r>
        </w:p>
        <w:p w14:paraId="39D28CA2">
          <w:pPr>
            <w:pStyle w:val="11"/>
            <w:tabs>
              <w:tab w:val="right" w:leader="dot" w:pos="8250"/>
            </w:tabs>
            <w:rPr>
              <w:sz w:val="28"/>
              <w:szCs w:val="24"/>
            </w:rPr>
          </w:pPr>
          <w:r>
            <w:rPr>
              <w:sz w:val="28"/>
              <w:szCs w:val="40"/>
            </w:rPr>
            <w:fldChar w:fldCharType="begin"/>
          </w:r>
          <w:r>
            <w:rPr>
              <w:sz w:val="28"/>
              <w:szCs w:val="40"/>
            </w:rPr>
            <w:instrText xml:space="preserve"> HYPERLINK \l _Toc20030 </w:instrText>
          </w:r>
          <w:r>
            <w:rPr>
              <w:sz w:val="28"/>
              <w:szCs w:val="40"/>
            </w:rPr>
            <w:fldChar w:fldCharType="separate"/>
          </w:r>
          <w:r>
            <w:rPr>
              <w:rFonts w:hint="eastAsia" w:ascii="楷体_GB2312" w:hAnsi="楷体_GB2312" w:eastAsia="楷体_GB2312" w:cs="楷体_GB2312"/>
              <w:bCs/>
              <w:kern w:val="0"/>
              <w:sz w:val="28"/>
              <w:szCs w:val="44"/>
              <w:lang w:eastAsia="zh-CN"/>
            </w:rPr>
            <w:t>（一）设置项目的绩效目标及指标</w:t>
          </w:r>
          <w:r>
            <w:rPr>
              <w:sz w:val="28"/>
              <w:szCs w:val="24"/>
            </w:rPr>
            <w:tab/>
          </w:r>
          <w:r>
            <w:rPr>
              <w:sz w:val="28"/>
              <w:szCs w:val="24"/>
            </w:rPr>
            <w:fldChar w:fldCharType="begin"/>
          </w:r>
          <w:r>
            <w:rPr>
              <w:sz w:val="28"/>
              <w:szCs w:val="24"/>
            </w:rPr>
            <w:instrText xml:space="preserve"> PAGEREF _Toc20030 \h </w:instrText>
          </w:r>
          <w:r>
            <w:rPr>
              <w:sz w:val="28"/>
              <w:szCs w:val="24"/>
            </w:rPr>
            <w:fldChar w:fldCharType="separate"/>
          </w:r>
          <w:r>
            <w:rPr>
              <w:sz w:val="28"/>
              <w:szCs w:val="24"/>
            </w:rPr>
            <w:t>16</w:t>
          </w:r>
          <w:r>
            <w:rPr>
              <w:sz w:val="28"/>
              <w:szCs w:val="24"/>
            </w:rPr>
            <w:fldChar w:fldCharType="end"/>
          </w:r>
          <w:r>
            <w:rPr>
              <w:sz w:val="28"/>
              <w:szCs w:val="40"/>
            </w:rPr>
            <w:fldChar w:fldCharType="end"/>
          </w:r>
        </w:p>
        <w:p w14:paraId="2DE4EB63">
          <w:pPr>
            <w:pStyle w:val="11"/>
            <w:tabs>
              <w:tab w:val="right" w:leader="dot" w:pos="8250"/>
            </w:tabs>
            <w:rPr>
              <w:sz w:val="28"/>
              <w:szCs w:val="24"/>
            </w:rPr>
          </w:pPr>
          <w:r>
            <w:rPr>
              <w:sz w:val="28"/>
              <w:szCs w:val="40"/>
            </w:rPr>
            <w:fldChar w:fldCharType="begin"/>
          </w:r>
          <w:r>
            <w:rPr>
              <w:sz w:val="28"/>
              <w:szCs w:val="40"/>
            </w:rPr>
            <w:instrText xml:space="preserve"> HYPERLINK \l _Toc8599 </w:instrText>
          </w:r>
          <w:r>
            <w:rPr>
              <w:sz w:val="28"/>
              <w:szCs w:val="40"/>
            </w:rPr>
            <w:fldChar w:fldCharType="separate"/>
          </w:r>
          <w:r>
            <w:rPr>
              <w:rFonts w:hint="eastAsia" w:ascii="楷体_GB2312" w:hAnsi="楷体_GB2312" w:eastAsia="楷体_GB2312" w:cs="楷体_GB2312"/>
              <w:bCs/>
              <w:kern w:val="0"/>
              <w:sz w:val="28"/>
              <w:szCs w:val="44"/>
              <w:lang w:eastAsia="zh-CN"/>
            </w:rPr>
            <w:t>（二）制定相关制度，加强绩效管理</w:t>
          </w:r>
          <w:r>
            <w:rPr>
              <w:sz w:val="28"/>
              <w:szCs w:val="24"/>
            </w:rPr>
            <w:tab/>
          </w:r>
          <w:r>
            <w:rPr>
              <w:sz w:val="28"/>
              <w:szCs w:val="24"/>
            </w:rPr>
            <w:fldChar w:fldCharType="begin"/>
          </w:r>
          <w:r>
            <w:rPr>
              <w:sz w:val="28"/>
              <w:szCs w:val="24"/>
            </w:rPr>
            <w:instrText xml:space="preserve"> PAGEREF _Toc8599 \h </w:instrText>
          </w:r>
          <w:r>
            <w:rPr>
              <w:sz w:val="28"/>
              <w:szCs w:val="24"/>
            </w:rPr>
            <w:fldChar w:fldCharType="separate"/>
          </w:r>
          <w:r>
            <w:rPr>
              <w:sz w:val="28"/>
              <w:szCs w:val="24"/>
            </w:rPr>
            <w:t>16</w:t>
          </w:r>
          <w:r>
            <w:rPr>
              <w:sz w:val="28"/>
              <w:szCs w:val="24"/>
            </w:rPr>
            <w:fldChar w:fldCharType="end"/>
          </w:r>
          <w:r>
            <w:rPr>
              <w:sz w:val="28"/>
              <w:szCs w:val="40"/>
            </w:rPr>
            <w:fldChar w:fldCharType="end"/>
          </w:r>
        </w:p>
        <w:p w14:paraId="7B94D127">
          <w:pPr>
            <w:pStyle w:val="11"/>
            <w:tabs>
              <w:tab w:val="right" w:leader="dot" w:pos="8250"/>
            </w:tabs>
            <w:rPr>
              <w:sz w:val="28"/>
              <w:szCs w:val="24"/>
            </w:rPr>
          </w:pPr>
          <w:r>
            <w:rPr>
              <w:sz w:val="28"/>
              <w:szCs w:val="40"/>
            </w:rPr>
            <w:fldChar w:fldCharType="begin"/>
          </w:r>
          <w:r>
            <w:rPr>
              <w:sz w:val="28"/>
              <w:szCs w:val="40"/>
            </w:rPr>
            <w:instrText xml:space="preserve"> HYPERLINK \l _Toc31121 </w:instrText>
          </w:r>
          <w:r>
            <w:rPr>
              <w:sz w:val="28"/>
              <w:szCs w:val="40"/>
            </w:rPr>
            <w:fldChar w:fldCharType="separate"/>
          </w:r>
          <w:r>
            <w:rPr>
              <w:rFonts w:hint="eastAsia" w:ascii="楷体_GB2312" w:hAnsi="楷体_GB2312" w:eastAsia="楷体_GB2312" w:cs="楷体_GB2312"/>
              <w:bCs/>
              <w:kern w:val="0"/>
              <w:sz w:val="28"/>
              <w:szCs w:val="44"/>
              <w:lang w:eastAsia="zh-CN"/>
            </w:rPr>
            <w:t>（三）及时进行绩效自评</w:t>
          </w:r>
          <w:r>
            <w:rPr>
              <w:sz w:val="28"/>
              <w:szCs w:val="24"/>
            </w:rPr>
            <w:tab/>
          </w:r>
          <w:r>
            <w:rPr>
              <w:sz w:val="28"/>
              <w:szCs w:val="24"/>
            </w:rPr>
            <w:fldChar w:fldCharType="begin"/>
          </w:r>
          <w:r>
            <w:rPr>
              <w:sz w:val="28"/>
              <w:szCs w:val="24"/>
            </w:rPr>
            <w:instrText xml:space="preserve"> PAGEREF _Toc31121 \h </w:instrText>
          </w:r>
          <w:r>
            <w:rPr>
              <w:sz w:val="28"/>
              <w:szCs w:val="24"/>
            </w:rPr>
            <w:fldChar w:fldCharType="separate"/>
          </w:r>
          <w:r>
            <w:rPr>
              <w:sz w:val="28"/>
              <w:szCs w:val="24"/>
            </w:rPr>
            <w:t>16</w:t>
          </w:r>
          <w:r>
            <w:rPr>
              <w:sz w:val="28"/>
              <w:szCs w:val="24"/>
            </w:rPr>
            <w:fldChar w:fldCharType="end"/>
          </w:r>
          <w:r>
            <w:rPr>
              <w:sz w:val="28"/>
              <w:szCs w:val="40"/>
            </w:rPr>
            <w:fldChar w:fldCharType="end"/>
          </w:r>
        </w:p>
        <w:p w14:paraId="02912E67">
          <w:pPr>
            <w:pStyle w:val="10"/>
            <w:tabs>
              <w:tab w:val="right" w:leader="dot" w:pos="8250"/>
            </w:tabs>
            <w:rPr>
              <w:sz w:val="28"/>
              <w:szCs w:val="24"/>
            </w:rPr>
          </w:pPr>
          <w:r>
            <w:rPr>
              <w:sz w:val="28"/>
              <w:szCs w:val="40"/>
            </w:rPr>
            <w:fldChar w:fldCharType="begin"/>
          </w:r>
          <w:r>
            <w:rPr>
              <w:sz w:val="28"/>
              <w:szCs w:val="40"/>
            </w:rPr>
            <w:instrText xml:space="preserve"> HYPERLINK \l _Toc21700 </w:instrText>
          </w:r>
          <w:r>
            <w:rPr>
              <w:sz w:val="28"/>
              <w:szCs w:val="40"/>
            </w:rPr>
            <w:fldChar w:fldCharType="separate"/>
          </w:r>
          <w:r>
            <w:rPr>
              <w:rFonts w:hint="eastAsia" w:ascii="仿宋" w:hAnsi="仿宋" w:eastAsia="仿宋" w:cs="仿宋"/>
              <w:kern w:val="0"/>
              <w:sz w:val="28"/>
              <w:szCs w:val="44"/>
            </w:rPr>
            <w:t>附</w:t>
          </w:r>
          <w:r>
            <w:rPr>
              <w:rFonts w:hint="eastAsia" w:ascii="仿宋" w:hAnsi="仿宋" w:eastAsia="仿宋" w:cs="仿宋"/>
              <w:kern w:val="0"/>
              <w:sz w:val="28"/>
              <w:szCs w:val="44"/>
              <w:lang w:val="en-US" w:eastAsia="zh-CN"/>
            </w:rPr>
            <w:t>件</w:t>
          </w:r>
          <w:r>
            <w:rPr>
              <w:rFonts w:hint="eastAsia" w:ascii="仿宋" w:hAnsi="仿宋" w:eastAsia="仿宋" w:cs="仿宋"/>
              <w:kern w:val="0"/>
              <w:sz w:val="28"/>
              <w:szCs w:val="44"/>
            </w:rPr>
            <w:t>1.项目绩效评价指标体系打分表</w:t>
          </w:r>
          <w:r>
            <w:rPr>
              <w:sz w:val="28"/>
              <w:szCs w:val="24"/>
            </w:rPr>
            <w:tab/>
          </w:r>
          <w:r>
            <w:rPr>
              <w:sz w:val="28"/>
              <w:szCs w:val="24"/>
            </w:rPr>
            <w:fldChar w:fldCharType="begin"/>
          </w:r>
          <w:r>
            <w:rPr>
              <w:sz w:val="28"/>
              <w:szCs w:val="24"/>
            </w:rPr>
            <w:instrText xml:space="preserve"> PAGEREF _Toc21700 \h </w:instrText>
          </w:r>
          <w:r>
            <w:rPr>
              <w:sz w:val="28"/>
              <w:szCs w:val="24"/>
            </w:rPr>
            <w:fldChar w:fldCharType="separate"/>
          </w:r>
          <w:r>
            <w:rPr>
              <w:sz w:val="28"/>
              <w:szCs w:val="24"/>
            </w:rPr>
            <w:t>16</w:t>
          </w:r>
          <w:r>
            <w:rPr>
              <w:sz w:val="28"/>
              <w:szCs w:val="24"/>
            </w:rPr>
            <w:fldChar w:fldCharType="end"/>
          </w:r>
          <w:r>
            <w:rPr>
              <w:sz w:val="28"/>
              <w:szCs w:val="40"/>
            </w:rPr>
            <w:fldChar w:fldCharType="end"/>
          </w:r>
        </w:p>
        <w:p w14:paraId="513F964A">
          <w:pPr>
            <w:jc w:val="center"/>
            <w:rPr>
              <w:sz w:val="28"/>
              <w:szCs w:val="28"/>
            </w:rPr>
          </w:pPr>
          <w:r>
            <w:rPr>
              <w:b/>
              <w:sz w:val="28"/>
              <w:szCs w:val="28"/>
            </w:rPr>
            <w:fldChar w:fldCharType="end"/>
          </w:r>
          <w:bookmarkStart w:id="3" w:name="_Toc7428"/>
        </w:p>
      </w:sdtContent>
    </w:sdt>
    <w:p w14:paraId="41663AF1">
      <w:pPr>
        <w:jc w:val="center"/>
        <w:outlineLvl w:val="0"/>
        <w:rPr>
          <w:rFonts w:ascii="宋体" w:hAnsi="宋体" w:cs="宋体"/>
          <w:b/>
          <w:bCs/>
          <w:spacing w:val="-3"/>
          <w:sz w:val="28"/>
          <w:szCs w:val="28"/>
          <w14:textOutline w14:w="6540" w14:cap="sq" w14:cmpd="sng" w14:algn="ctr">
            <w14:solidFill>
              <w14:srgbClr w14:val="000000"/>
            </w14:solidFill>
            <w14:prstDash w14:val="solid"/>
            <w14:bevel/>
          </w14:textOutline>
        </w:rPr>
        <w:sectPr>
          <w:footerReference r:id="rId4" w:type="default"/>
          <w:pgSz w:w="11850" w:h="16783"/>
          <w:pgMar w:top="1440" w:right="1800" w:bottom="1440" w:left="1800" w:header="567" w:footer="992" w:gutter="0"/>
          <w:pgNumType w:start="1"/>
          <w:cols w:space="720" w:num="1"/>
          <w:docGrid w:type="lines" w:linePitch="312" w:charSpace="0"/>
        </w:sectPr>
      </w:pPr>
    </w:p>
    <w:p w14:paraId="1B332A71">
      <w:pPr>
        <w:jc w:val="center"/>
        <w:outlineLvl w:val="0"/>
        <w:rPr>
          <w:rFonts w:ascii="宋体" w:hAnsi="宋体" w:cs="宋体"/>
          <w:b/>
          <w:bCs/>
          <w:spacing w:val="-3"/>
          <w:sz w:val="36"/>
          <w:szCs w:val="36"/>
          <w14:textOutline w14:w="6540" w14:cap="sq" w14:cmpd="sng" w14:algn="ctr">
            <w14:solidFill>
              <w14:srgbClr w14:val="000000"/>
            </w14:solidFill>
            <w14:prstDash w14:val="solid"/>
            <w14:bevel/>
          </w14:textOutline>
        </w:rPr>
      </w:pPr>
      <w:bookmarkStart w:id="4" w:name="_Toc5359"/>
      <w:r>
        <w:rPr>
          <w:rFonts w:ascii="宋体" w:hAnsi="宋体" w:cs="宋体"/>
          <w:b/>
          <w:bCs/>
          <w:spacing w:val="-3"/>
          <w:sz w:val="36"/>
          <w:szCs w:val="36"/>
          <w14:textOutline w14:w="6540" w14:cap="sq" w14:cmpd="sng" w14:algn="ctr">
            <w14:solidFill>
              <w14:srgbClr w14:val="000000"/>
            </w14:solidFill>
            <w14:prstDash w14:val="solid"/>
            <w14:bevel/>
          </w14:textOutline>
        </w:rPr>
        <w:t>摘</w:t>
      </w:r>
      <w:r>
        <w:rPr>
          <w:rFonts w:ascii="宋体" w:hAnsi="宋体" w:cs="宋体"/>
          <w:b/>
          <w:bCs/>
          <w:spacing w:val="27"/>
          <w:sz w:val="36"/>
          <w:szCs w:val="36"/>
        </w:rPr>
        <w:t xml:space="preserve"> </w:t>
      </w:r>
      <w:r>
        <w:rPr>
          <w:rFonts w:ascii="宋体" w:hAnsi="宋体" w:cs="宋体"/>
          <w:b/>
          <w:bCs/>
          <w:spacing w:val="-3"/>
          <w:sz w:val="36"/>
          <w:szCs w:val="36"/>
          <w14:textOutline w14:w="6540" w14:cap="sq" w14:cmpd="sng" w14:algn="ctr">
            <w14:solidFill>
              <w14:srgbClr w14:val="000000"/>
            </w14:solidFill>
            <w14:prstDash w14:val="solid"/>
            <w14:bevel/>
          </w14:textOutline>
        </w:rPr>
        <w:t>要</w:t>
      </w:r>
      <w:bookmarkEnd w:id="3"/>
      <w:bookmarkEnd w:id="4"/>
    </w:p>
    <w:p w14:paraId="0CCB7CA9">
      <w:pPr>
        <w:widowControl/>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为了优化城市的空间布局，加强区域间的合作与交流，根据扶风县自然资源局《扶风县国土空间总体规划（2021-2035年）》（第十二次会议），扶风县人民政府于2020年3月20日召开第七次政府常务会议，决定实施国土空间总体规划编制工作经费项目。项目主管部门为扶风县自然资源局，由扶风县自然资源局实施。项目预算资金240万元，项目到位资金240万元，项目资金支付240万元，项目结余资金0万元。</w:t>
      </w:r>
    </w:p>
    <w:p w14:paraId="451B4D15">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按照确定的评分细则，对各项指标逐一评价打分，国土空间总体规划编制工作经费绩效评价得分为87.0分，评价结果等级为“良”。</w:t>
      </w:r>
    </w:p>
    <w:p w14:paraId="4B8ECD6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存在的问题：①项目未设置绩效目标及指标；②管理制度不健全，绩效管理有待加强；③项目实施单位未进行绩效自评。</w:t>
      </w:r>
    </w:p>
    <w:p w14:paraId="70B1973F">
      <w:pPr>
        <w:spacing w:line="600" w:lineRule="exact"/>
        <w:ind w:firstLine="640" w:firstLineChars="200"/>
        <w:rPr>
          <w:rFonts w:ascii="仿宋" w:hAnsi="仿宋" w:eastAsia="仿宋" w:cs="仿宋"/>
          <w:kern w:val="0"/>
          <w:sz w:val="32"/>
          <w:szCs w:val="32"/>
        </w:rPr>
        <w:sectPr>
          <w:footerReference r:id="rId5" w:type="default"/>
          <w:pgSz w:w="11850" w:h="16783"/>
          <w:pgMar w:top="1440" w:right="1800" w:bottom="1440" w:left="1800" w:header="567" w:footer="992" w:gutter="0"/>
          <w:pgNumType w:start="1"/>
          <w:cols w:space="720" w:num="1"/>
          <w:docGrid w:type="lines" w:linePitch="312" w:charSpace="0"/>
        </w:sectPr>
      </w:pPr>
      <w:r>
        <w:rPr>
          <w:rFonts w:hint="eastAsia" w:ascii="仿宋" w:hAnsi="仿宋" w:eastAsia="仿宋" w:cs="仿宋"/>
          <w:kern w:val="0"/>
          <w:sz w:val="32"/>
          <w:szCs w:val="32"/>
        </w:rPr>
        <w:t>具体内容详见报告正文。</w:t>
      </w:r>
    </w:p>
    <w:p w14:paraId="725694A6">
      <w:pPr>
        <w:spacing w:line="600" w:lineRule="exact"/>
        <w:ind w:firstLine="723"/>
        <w:jc w:val="center"/>
        <w:outlineLvl w:val="9"/>
        <w:rPr>
          <w:rFonts w:ascii="方正小标宋_GBK" w:hAnsi="方正小标宋_GBK" w:eastAsia="方正小标宋_GBK" w:cs="方正小标宋_GBK"/>
          <w:b/>
          <w:bCs/>
          <w:kern w:val="2"/>
          <w:sz w:val="36"/>
          <w:szCs w:val="36"/>
        </w:rPr>
      </w:pPr>
      <w:r>
        <w:rPr>
          <w:rFonts w:hint="eastAsia" w:ascii="方正小标宋_GBK" w:hAnsi="方正小标宋_GBK" w:eastAsia="方正小标宋_GBK" w:cs="方正小标宋_GBK"/>
          <w:b/>
          <w:bCs/>
          <w:kern w:val="2"/>
          <w:sz w:val="36"/>
          <w:szCs w:val="36"/>
        </w:rPr>
        <w:t>国土空间总体规划编制工作经费</w:t>
      </w:r>
    </w:p>
    <w:p w14:paraId="32D46AF8">
      <w:pPr>
        <w:spacing w:line="600" w:lineRule="exact"/>
        <w:ind w:firstLine="723"/>
        <w:jc w:val="center"/>
        <w:outlineLvl w:val="9"/>
        <w:rPr>
          <w:rFonts w:hint="eastAsia" w:ascii="方正小标宋_GBK" w:hAnsi="方正小标宋_GBK" w:eastAsia="方正小标宋_GBK" w:cs="方正小标宋_GBK"/>
          <w:b/>
          <w:bCs/>
          <w:kern w:val="2"/>
          <w:sz w:val="36"/>
          <w:szCs w:val="36"/>
        </w:rPr>
      </w:pPr>
      <w:bookmarkStart w:id="5" w:name="_Toc3207"/>
      <w:bookmarkStart w:id="6" w:name="_Toc3198"/>
      <w:r>
        <w:rPr>
          <w:rFonts w:hint="eastAsia" w:ascii="方正小标宋_GBK" w:hAnsi="方正小标宋_GBK" w:eastAsia="方正小标宋_GBK" w:cs="方正小标宋_GBK"/>
          <w:b/>
          <w:bCs/>
          <w:kern w:val="2"/>
          <w:sz w:val="36"/>
          <w:szCs w:val="36"/>
        </w:rPr>
        <w:t>绩效评价报告</w:t>
      </w:r>
      <w:bookmarkEnd w:id="5"/>
      <w:bookmarkEnd w:id="6"/>
    </w:p>
    <w:p w14:paraId="0C1BEA7C">
      <w:pPr>
        <w:spacing w:line="600" w:lineRule="exact"/>
        <w:ind w:firstLine="640" w:firstLineChars="200"/>
        <w:rPr>
          <w:rFonts w:ascii="仿宋" w:hAnsi="仿宋" w:eastAsia="仿宋" w:cs="仿宋"/>
          <w:kern w:val="0"/>
          <w:sz w:val="32"/>
          <w:szCs w:val="32"/>
        </w:rPr>
      </w:pPr>
      <w:bookmarkStart w:id="7" w:name="_Toc12937"/>
      <w:bookmarkStart w:id="8" w:name="_Toc9863"/>
      <w:bookmarkStart w:id="9" w:name="_Toc23524"/>
      <w:r>
        <w:rPr>
          <w:rFonts w:hint="eastAsia" w:ascii="仿宋" w:hAnsi="仿宋" w:eastAsia="仿宋" w:cs="仿宋"/>
          <w:kern w:val="0"/>
          <w:sz w:val="32"/>
          <w:szCs w:val="32"/>
        </w:rPr>
        <w:t>为进一步加强财政资金管理，强化支出责任和效率意识，增加财政资金的使用效益，更好</w:t>
      </w:r>
      <w:r>
        <w:rPr>
          <w:rFonts w:hint="eastAsia" w:ascii="仿宋" w:hAnsi="仿宋" w:eastAsia="仿宋" w:cs="仿宋"/>
          <w:kern w:val="0"/>
          <w:sz w:val="32"/>
          <w:szCs w:val="32"/>
          <w:lang w:val="en-US" w:eastAsia="zh-CN"/>
        </w:rPr>
        <w:t>地</w:t>
      </w:r>
      <w:r>
        <w:rPr>
          <w:rFonts w:hint="eastAsia" w:ascii="仿宋" w:hAnsi="仿宋" w:eastAsia="仿宋" w:cs="仿宋"/>
          <w:kern w:val="0"/>
          <w:sz w:val="32"/>
          <w:szCs w:val="32"/>
        </w:rPr>
        <w:t>优化资源配置，控制节约成本、提升公共产品质量和公共服务水平，扶风县财政局组织开展了2023</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财政专项资金重点项目绩效评价工作。于2024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5</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3日</w:t>
      </w:r>
      <w:r>
        <w:rPr>
          <w:rFonts w:hint="eastAsia" w:ascii="仿宋" w:hAnsi="仿宋" w:eastAsia="仿宋" w:cs="仿宋"/>
          <w:kern w:val="0"/>
          <w:sz w:val="32"/>
          <w:szCs w:val="32"/>
        </w:rPr>
        <w:t>至2024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6</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17</w:t>
      </w:r>
      <w:r>
        <w:rPr>
          <w:rFonts w:hint="eastAsia" w:ascii="仿宋" w:hAnsi="仿宋" w:eastAsia="仿宋" w:cs="仿宋"/>
          <w:kern w:val="0"/>
          <w:sz w:val="32"/>
          <w:szCs w:val="32"/>
          <w:lang w:val="en-US" w:eastAsia="zh-CN"/>
        </w:rPr>
        <w:t>日</w:t>
      </w:r>
      <w:r>
        <w:rPr>
          <w:rFonts w:hint="eastAsia" w:ascii="仿宋" w:hAnsi="仿宋" w:eastAsia="仿宋" w:cs="仿宋"/>
          <w:kern w:val="0"/>
          <w:sz w:val="32"/>
          <w:szCs w:val="32"/>
        </w:rPr>
        <w:t>，对国土空间总体规划编制工作经费进行绩效评价。现将评价情况报告如下：</w:t>
      </w:r>
    </w:p>
    <w:p w14:paraId="00C57F00">
      <w:pPr>
        <w:spacing w:before="104" w:line="600" w:lineRule="exact"/>
        <w:ind w:firstLine="672"/>
        <w:outlineLvl w:val="0"/>
        <w:rPr>
          <w:rFonts w:ascii="黑体" w:hAnsi="黑体" w:eastAsia="黑体" w:cs="黑体"/>
          <w:spacing w:val="-2"/>
          <w:sz w:val="32"/>
          <w:szCs w:val="32"/>
        </w:rPr>
      </w:pPr>
      <w:bookmarkStart w:id="10" w:name="_Toc14258"/>
      <w:r>
        <w:rPr>
          <w:rFonts w:hint="eastAsia" w:ascii="黑体" w:hAnsi="黑体" w:eastAsia="黑体" w:cs="黑体"/>
          <w:spacing w:val="-2"/>
          <w:sz w:val="32"/>
          <w:szCs w:val="32"/>
        </w:rPr>
        <w:t>一、</w:t>
      </w:r>
      <w:bookmarkEnd w:id="7"/>
      <w:r>
        <w:rPr>
          <w:rFonts w:hint="eastAsia" w:ascii="黑体" w:hAnsi="黑体" w:eastAsia="黑体" w:cs="黑体"/>
          <w:spacing w:val="-2"/>
          <w:sz w:val="32"/>
          <w:szCs w:val="32"/>
        </w:rPr>
        <w:t>基本情况</w:t>
      </w:r>
      <w:bookmarkEnd w:id="8"/>
      <w:bookmarkEnd w:id="9"/>
      <w:bookmarkEnd w:id="10"/>
    </w:p>
    <w:p w14:paraId="38E4D387">
      <w:pPr>
        <w:spacing w:line="600" w:lineRule="exact"/>
        <w:ind w:firstLine="643" w:firstLineChars="200"/>
        <w:outlineLvl w:val="1"/>
        <w:rPr>
          <w:rFonts w:ascii="楷体" w:hAnsi="楷体" w:eastAsia="楷体" w:cs="楷体"/>
          <w:b/>
          <w:bCs/>
          <w:kern w:val="0"/>
          <w:sz w:val="32"/>
          <w:szCs w:val="32"/>
        </w:rPr>
      </w:pPr>
      <w:bookmarkStart w:id="11" w:name="_Toc3001"/>
      <w:bookmarkStart w:id="12" w:name="_Toc22255"/>
      <w:bookmarkStart w:id="13" w:name="_Toc24850"/>
      <w:bookmarkStart w:id="14" w:name="_Toc2465"/>
      <w:r>
        <w:rPr>
          <w:rFonts w:hint="eastAsia" w:ascii="楷体" w:hAnsi="楷体" w:eastAsia="楷体" w:cs="楷体"/>
          <w:b/>
          <w:bCs/>
          <w:kern w:val="0"/>
          <w:sz w:val="32"/>
          <w:szCs w:val="32"/>
        </w:rPr>
        <w:t>（一）</w:t>
      </w:r>
      <w:bookmarkEnd w:id="11"/>
      <w:r>
        <w:rPr>
          <w:rFonts w:hint="eastAsia" w:ascii="楷体" w:hAnsi="楷体" w:eastAsia="楷体" w:cs="楷体"/>
          <w:b/>
          <w:bCs/>
          <w:kern w:val="0"/>
          <w:sz w:val="32"/>
          <w:szCs w:val="32"/>
        </w:rPr>
        <w:t>项目概况</w:t>
      </w:r>
      <w:bookmarkEnd w:id="12"/>
      <w:bookmarkEnd w:id="13"/>
      <w:bookmarkEnd w:id="14"/>
    </w:p>
    <w:p w14:paraId="31A615E2">
      <w:pPr>
        <w:spacing w:line="600" w:lineRule="exact"/>
        <w:ind w:firstLine="643"/>
        <w:outlineLvl w:val="9"/>
        <w:rPr>
          <w:rFonts w:ascii="仿宋" w:hAnsi="仿宋" w:cs="仿宋"/>
          <w:b/>
          <w:bCs/>
          <w:sz w:val="32"/>
          <w:szCs w:val="32"/>
        </w:rPr>
      </w:pPr>
      <w:r>
        <w:rPr>
          <w:rFonts w:hint="eastAsia" w:ascii="仿宋" w:hAnsi="仿宋" w:cs="仿宋"/>
          <w:b/>
          <w:bCs/>
          <w:sz w:val="32"/>
          <w:szCs w:val="32"/>
        </w:rPr>
        <w:t>1.项目背景</w:t>
      </w:r>
    </w:p>
    <w:p w14:paraId="55D443B4">
      <w:pPr>
        <w:spacing w:line="600" w:lineRule="exact"/>
        <w:ind w:firstLine="640" w:firstLineChars="200"/>
      </w:pPr>
      <w:r>
        <w:rPr>
          <w:rFonts w:ascii="仿宋" w:hAnsi="仿宋" w:eastAsia="仿宋" w:cs="仿宋"/>
          <w:kern w:val="0"/>
          <w:sz w:val="32"/>
          <w:szCs w:val="32"/>
        </w:rPr>
        <w:t>为了优化城市的空间布局，加强区域间的合作与交流，根据扶风县自然资源局《扶风县国土空间总体规划（2021-2035年）》（第十二次会议），扶风县人民政府于2020年3月20日召开第七次政府常务会议，决定实施国土空间总体规划编制工作经费项目。</w:t>
      </w:r>
    </w:p>
    <w:p w14:paraId="44079228">
      <w:pPr>
        <w:spacing w:line="600" w:lineRule="exact"/>
        <w:ind w:firstLine="643"/>
        <w:outlineLvl w:val="9"/>
        <w:rPr>
          <w:rFonts w:hint="eastAsia" w:ascii="仿宋" w:hAnsi="仿宋" w:eastAsia="宋体" w:cs="仿宋"/>
          <w:b/>
          <w:bCs/>
          <w:sz w:val="32"/>
          <w:szCs w:val="32"/>
        </w:rPr>
      </w:pPr>
      <w:bookmarkStart w:id="15" w:name="_Toc30940"/>
      <w:bookmarkStart w:id="16" w:name="_Toc19838"/>
      <w:bookmarkStart w:id="17" w:name="_Toc2902"/>
      <w:bookmarkStart w:id="18" w:name="_Toc24420"/>
      <w:bookmarkStart w:id="19" w:name="_Toc5307_WPSOffice_Level2"/>
      <w:bookmarkStart w:id="20" w:name="_Toc6691"/>
      <w:r>
        <w:rPr>
          <w:rFonts w:hint="eastAsia" w:ascii="仿宋" w:hAnsi="仿宋" w:eastAsia="宋体" w:cs="仿宋"/>
          <w:b/>
          <w:bCs/>
          <w:sz w:val="32"/>
          <w:szCs w:val="32"/>
        </w:rPr>
        <w:t>2.项目主要内容</w:t>
      </w:r>
    </w:p>
    <w:p w14:paraId="75F7F27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（1）《扶风县土地利用总体规划(2006-2020年)和扶风县城市总体规划（2010-2030年）实施评估》；</w:t>
      </w:r>
    </w:p>
    <w:p w14:paraId="0F9ABD9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（2）国土空间开发保护现状评估；</w:t>
      </w:r>
    </w:p>
    <w:p w14:paraId="14454290">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（3）《资源环境承载能力和国土空间开发适宜性评价》；</w:t>
      </w:r>
    </w:p>
    <w:p w14:paraId="09736FE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（4）《三区三线划定与优化研究》；</w:t>
      </w:r>
    </w:p>
    <w:p w14:paraId="6F365C7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（5）《高质量产业发展与空间布局研究》；</w:t>
      </w:r>
    </w:p>
    <w:p w14:paraId="2DD242DD">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（6）《城乡建设用地节约集约利用与开发潜力研究》；</w:t>
      </w:r>
    </w:p>
    <w:p w14:paraId="08203C8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（7）《国土综合整治与生态修复研究》；</w:t>
      </w:r>
    </w:p>
    <w:p w14:paraId="2620060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（8）《乡村振兴与村庄布局研究》。</w:t>
      </w:r>
    </w:p>
    <w:p w14:paraId="7E441A03">
      <w:pPr>
        <w:spacing w:line="600" w:lineRule="exact"/>
        <w:ind w:firstLine="643"/>
        <w:outlineLvl w:val="9"/>
        <w:rPr>
          <w:rFonts w:ascii="仿宋" w:hAnsi="仿宋" w:cs="仿宋"/>
          <w:b/>
          <w:bCs/>
          <w:sz w:val="32"/>
          <w:szCs w:val="32"/>
        </w:rPr>
      </w:pPr>
      <w:r>
        <w:rPr>
          <w:rFonts w:hint="eastAsia" w:ascii="仿宋" w:hAnsi="仿宋" w:cs="仿宋"/>
          <w:b/>
          <w:bCs/>
          <w:sz w:val="32"/>
          <w:szCs w:val="32"/>
        </w:rPr>
        <w:t>3.项目实施情况</w:t>
      </w:r>
    </w:p>
    <w:p w14:paraId="17A18ED0">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（1）扶风县自然资源局委托陕西上德招标有限公司于2020年11月03日，通过公开招标方式确定施工单位为陕西空间规划研究院有限公司。</w:t>
      </w:r>
    </w:p>
    <w:p w14:paraId="27ECE07D">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（2）项目已完工。</w:t>
      </w:r>
    </w:p>
    <w:p w14:paraId="39FA0EEB">
      <w:pPr>
        <w:spacing w:line="600" w:lineRule="exact"/>
        <w:ind w:firstLine="643"/>
        <w:outlineLvl w:val="9"/>
        <w:rPr>
          <w:rFonts w:ascii="仿宋" w:hAnsi="仿宋" w:cs="仿宋"/>
          <w:b/>
          <w:bCs/>
          <w:sz w:val="32"/>
          <w:szCs w:val="32"/>
        </w:rPr>
      </w:pPr>
      <w:r>
        <w:rPr>
          <w:rFonts w:hint="eastAsia" w:ascii="仿宋" w:hAnsi="仿宋" w:cs="仿宋"/>
          <w:b/>
          <w:bCs/>
          <w:sz w:val="32"/>
          <w:szCs w:val="32"/>
        </w:rPr>
        <w:t>4.项目资金投入情况</w:t>
      </w:r>
    </w:p>
    <w:p w14:paraId="24E2FC75">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扶风县财政局于2023年5月4日</w:t>
      </w:r>
      <w:r>
        <w:rPr>
          <w:rFonts w:hint="eastAsia" w:ascii="仿宋" w:hAnsi="仿宋" w:eastAsia="仿宋" w:cs="仿宋"/>
          <w:kern w:val="0"/>
          <w:sz w:val="32"/>
          <w:szCs w:val="32"/>
          <w:lang w:val="en-US" w:eastAsia="zh-CN"/>
        </w:rPr>
        <w:t>根据</w:t>
      </w:r>
      <w:r>
        <w:rPr>
          <w:rFonts w:hint="eastAsia" w:ascii="仿宋" w:hAnsi="仿宋" w:eastAsia="仿宋" w:cs="仿宋"/>
          <w:kern w:val="0"/>
          <w:sz w:val="32"/>
          <w:szCs w:val="32"/>
        </w:rPr>
        <w:t>《扶风县自然资源局关于申请拨付扶风县国土空间总体规划编制工作经费的报告》（扶自然资字〔2023〕74号）向扶风县自然资源局下达国土空间总体规划编制工作经费240万元。</w:t>
      </w:r>
    </w:p>
    <w:p w14:paraId="222FCBDF">
      <w:pPr>
        <w:spacing w:line="600" w:lineRule="exact"/>
        <w:ind w:firstLine="643"/>
        <w:outlineLvl w:val="9"/>
        <w:rPr>
          <w:rFonts w:ascii="仿宋" w:hAnsi="仿宋" w:cs="仿宋"/>
          <w:b/>
          <w:bCs/>
          <w:sz w:val="32"/>
          <w:szCs w:val="32"/>
        </w:rPr>
      </w:pPr>
      <w:r>
        <w:rPr>
          <w:rFonts w:hint="eastAsia" w:ascii="仿宋" w:hAnsi="仿宋" w:cs="仿宋"/>
          <w:b/>
          <w:bCs/>
          <w:sz w:val="32"/>
          <w:szCs w:val="32"/>
        </w:rPr>
        <w:t>5.项目支出和资金使用情况</w:t>
      </w:r>
    </w:p>
    <w:p w14:paraId="39334E2D">
      <w:pPr>
        <w:spacing w:line="600" w:lineRule="exact"/>
        <w:ind w:firstLine="640" w:firstLineChars="200"/>
      </w:pPr>
      <w:r>
        <w:rPr>
          <w:rFonts w:hint="eastAsia" w:ascii="仿宋" w:hAnsi="仿宋" w:eastAsia="仿宋" w:cs="仿宋"/>
          <w:kern w:val="0"/>
          <w:sz w:val="32"/>
          <w:szCs w:val="32"/>
        </w:rPr>
        <w:t>项目预算资金为240万元，截至2023年8月25日，已支付240万元。</w:t>
      </w:r>
    </w:p>
    <w:p w14:paraId="7A493A59">
      <w:pPr>
        <w:spacing w:line="600" w:lineRule="exact"/>
        <w:ind w:firstLine="643" w:firstLineChars="200"/>
        <w:outlineLvl w:val="1"/>
        <w:rPr>
          <w:rFonts w:ascii="楷体" w:hAnsi="楷体" w:eastAsia="楷体" w:cs="楷体"/>
          <w:b/>
          <w:bCs/>
          <w:kern w:val="0"/>
          <w:sz w:val="32"/>
          <w:szCs w:val="32"/>
        </w:rPr>
      </w:pPr>
      <w:bookmarkStart w:id="21" w:name="_Toc15008"/>
      <w:r>
        <w:rPr>
          <w:rFonts w:hint="eastAsia" w:ascii="楷体" w:hAnsi="楷体" w:eastAsia="楷体" w:cs="楷体"/>
          <w:b/>
          <w:bCs/>
          <w:kern w:val="0"/>
          <w:sz w:val="32"/>
          <w:szCs w:val="32"/>
        </w:rPr>
        <w:t>（二）项目绩效目标</w:t>
      </w:r>
      <w:bookmarkEnd w:id="15"/>
      <w:bookmarkEnd w:id="16"/>
      <w:bookmarkEnd w:id="17"/>
      <w:bookmarkEnd w:id="21"/>
    </w:p>
    <w:p w14:paraId="60B0FBC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1.项目总体目标</w:t>
      </w:r>
    </w:p>
    <w:p w14:paraId="1FC58047">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全面开展规划文本编制，形成文本初稿，完成“国土空间基础信息平台和国土空间规划“一张图”实施监测信息系统”框架搭建，并初步完成规划图集编制以及国土空间基础信息平台和国土空间规划“一张图”实施监测信息系统试运行，优化县域布局，加强区域间的合作与交流，引导县域高效集约发展。</w:t>
      </w:r>
    </w:p>
    <w:p w14:paraId="0D156710">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2.项目绩效目标分解</w:t>
      </w:r>
    </w:p>
    <w:p w14:paraId="448B8021">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（1）产出指标</w:t>
      </w:r>
    </w:p>
    <w:p w14:paraId="58517C97">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①数量指标。完成扶风县国土空间总体规划编制工作。</w:t>
      </w:r>
    </w:p>
    <w:p w14:paraId="36EEA0F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②质量指标。《陕西省县级国土空间总体规划编制技术规范》通过专家评审。</w:t>
      </w:r>
    </w:p>
    <w:p w14:paraId="69290F95">
      <w:pPr>
        <w:spacing w:line="600" w:lineRule="exact"/>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rPr>
        <w:t>③时效指标。2023年</w:t>
      </w:r>
      <w:r>
        <w:rPr>
          <w:rFonts w:hint="eastAsia" w:ascii="仿宋" w:hAnsi="仿宋" w:eastAsia="仿宋" w:cs="仿宋"/>
          <w:kern w:val="0"/>
          <w:sz w:val="32"/>
          <w:szCs w:val="32"/>
          <w:lang w:eastAsia="zh-CN"/>
        </w:rPr>
        <w:t>。</w:t>
      </w:r>
    </w:p>
    <w:p w14:paraId="75E06BC1">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④成本指标。项目支出240万元。</w:t>
      </w:r>
    </w:p>
    <w:p w14:paraId="7575157A">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（2）效益指标</w:t>
      </w:r>
    </w:p>
    <w:p w14:paraId="72B1EC5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①社会效益。优化县域布局明显提升。</w:t>
      </w:r>
    </w:p>
    <w:p w14:paraId="1424AC8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②可持续影响。引导县域高效集约发展</w:t>
      </w:r>
      <w:r>
        <w:rPr>
          <w:rFonts w:hint="eastAsia" w:ascii="仿宋" w:hAnsi="仿宋" w:eastAsia="仿宋" w:cs="仿宋"/>
          <w:kern w:val="0"/>
          <w:sz w:val="32"/>
          <w:szCs w:val="32"/>
          <w:lang w:val="en-US" w:eastAsia="zh-CN"/>
        </w:rPr>
        <w:t>水平</w:t>
      </w:r>
      <w:r>
        <w:rPr>
          <w:rFonts w:hint="eastAsia" w:ascii="仿宋" w:hAnsi="仿宋" w:eastAsia="仿宋" w:cs="仿宋"/>
          <w:kern w:val="0"/>
          <w:sz w:val="32"/>
          <w:szCs w:val="32"/>
        </w:rPr>
        <w:t>明显提升。</w:t>
      </w:r>
    </w:p>
    <w:p w14:paraId="0B3983F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③满意度。社会公众满意度达到90%。</w:t>
      </w:r>
      <w:bookmarkEnd w:id="18"/>
      <w:bookmarkEnd w:id="19"/>
      <w:bookmarkEnd w:id="20"/>
      <w:bookmarkStart w:id="22" w:name="_Toc25596"/>
      <w:bookmarkStart w:id="23" w:name="_Toc22895"/>
      <w:bookmarkStart w:id="24" w:name="_Toc29155_WPSOffice_Level1"/>
      <w:bookmarkStart w:id="25" w:name="_Toc28175_WPSOffice_Level1"/>
      <w:bookmarkStart w:id="26" w:name="_Toc8245_WPSOffice_Level1"/>
      <w:bookmarkStart w:id="27" w:name="_Toc21915"/>
      <w:bookmarkStart w:id="28" w:name="_Toc3241_WPSOffice_Level1"/>
      <w:bookmarkStart w:id="29" w:name="_Hlk2370114"/>
      <w:bookmarkStart w:id="30" w:name="_Toc29537"/>
      <w:bookmarkStart w:id="31" w:name="_Toc16072"/>
      <w:bookmarkStart w:id="32" w:name="_Toc28206"/>
      <w:bookmarkStart w:id="33" w:name="_Toc18785"/>
      <w:bookmarkStart w:id="34" w:name="_Toc6828_WPSOffice_Level1"/>
      <w:bookmarkStart w:id="35" w:name="_Toc11420_WPSOffice_Level1"/>
      <w:bookmarkStart w:id="36" w:name="_Toc29074"/>
      <w:bookmarkStart w:id="37" w:name="_Toc6281_WPSOffice_Level1"/>
      <w:bookmarkStart w:id="38" w:name="_Toc751_WPSOffice_Level1"/>
    </w:p>
    <w:p w14:paraId="04153183">
      <w:pPr>
        <w:spacing w:before="104" w:line="600" w:lineRule="exact"/>
        <w:ind w:firstLine="672"/>
        <w:outlineLvl w:val="0"/>
        <w:rPr>
          <w:rFonts w:ascii="黑体" w:hAnsi="黑体" w:eastAsia="黑体" w:cs="黑体"/>
          <w:spacing w:val="-2"/>
          <w:sz w:val="32"/>
          <w:szCs w:val="32"/>
        </w:rPr>
      </w:pPr>
      <w:bookmarkStart w:id="39" w:name="_Toc29422"/>
      <w:r>
        <w:rPr>
          <w:rFonts w:hint="eastAsia" w:ascii="黑体" w:hAnsi="黑体" w:eastAsia="黑体" w:cs="黑体"/>
          <w:spacing w:val="-2"/>
          <w:sz w:val="32"/>
          <w:szCs w:val="32"/>
        </w:rPr>
        <w:t>二、绩效评价工作开展情况</w:t>
      </w:r>
      <w:bookmarkEnd w:id="22"/>
      <w:bookmarkEnd w:id="23"/>
      <w:bookmarkEnd w:id="39"/>
      <w:bookmarkStart w:id="40" w:name="_Toc30013"/>
      <w:bookmarkStart w:id="41" w:name="_Toc4270"/>
      <w:bookmarkStart w:id="42" w:name="_Toc1319"/>
      <w:bookmarkStart w:id="43" w:name="_Toc1360"/>
    </w:p>
    <w:p w14:paraId="478D563D">
      <w:pPr>
        <w:spacing w:before="104" w:line="600" w:lineRule="exact"/>
        <w:ind w:firstLine="672"/>
        <w:outlineLvl w:val="1"/>
      </w:pPr>
      <w:bookmarkStart w:id="44" w:name="_Toc26897"/>
      <w:r>
        <w:rPr>
          <w:rFonts w:hint="eastAsia" w:ascii="楷体" w:hAnsi="楷体" w:eastAsia="楷体" w:cs="楷体"/>
          <w:b/>
          <w:bCs/>
          <w:kern w:val="0"/>
          <w:sz w:val="32"/>
          <w:szCs w:val="32"/>
        </w:rPr>
        <w:t>（一）绩效评价目的</w:t>
      </w:r>
      <w:bookmarkEnd w:id="40"/>
      <w:bookmarkEnd w:id="41"/>
      <w:bookmarkEnd w:id="42"/>
      <w:r>
        <w:rPr>
          <w:rFonts w:hint="eastAsia" w:ascii="楷体" w:hAnsi="楷体" w:eastAsia="楷体" w:cs="楷体"/>
          <w:b/>
          <w:bCs/>
          <w:kern w:val="0"/>
          <w:sz w:val="32"/>
          <w:szCs w:val="32"/>
        </w:rPr>
        <w:t>与重点</w:t>
      </w:r>
      <w:bookmarkEnd w:id="43"/>
      <w:bookmarkEnd w:id="44"/>
    </w:p>
    <w:p w14:paraId="4279A9D9">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次绩效评价的对象为国土空间总体规划编制工作经费。绩效评价目的主要包括全面掌握项目资金管理使用情况，形成重点绩效评价报告，根据存在问题，有针对性地提出整改意见或建议，指导和督促单位加强资金管理，加快支出进度，完善资金管理机制，提高财政资金使用效益，切实做到“花钱要问效，无效要问责”。</w:t>
      </w:r>
    </w:p>
    <w:p w14:paraId="40DAC02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绩效评价重点主要包括项目总体绩效目标、各项绩效指标完成情况以及预算执行情况等。</w:t>
      </w:r>
    </w:p>
    <w:p w14:paraId="41D48363">
      <w:pPr>
        <w:spacing w:line="600" w:lineRule="exact"/>
        <w:ind w:firstLine="643" w:firstLineChars="200"/>
        <w:outlineLvl w:val="1"/>
        <w:rPr>
          <w:rFonts w:ascii="楷体" w:hAnsi="楷体" w:eastAsia="楷体" w:cs="楷体"/>
          <w:b/>
          <w:bCs/>
          <w:kern w:val="0"/>
          <w:sz w:val="32"/>
          <w:szCs w:val="32"/>
        </w:rPr>
      </w:pPr>
      <w:bookmarkStart w:id="45" w:name="_Toc18097"/>
      <w:bookmarkStart w:id="46" w:name="_Toc17204"/>
      <w:bookmarkStart w:id="47" w:name="_Toc14910"/>
      <w:bookmarkStart w:id="48" w:name="_Toc26289"/>
      <w:bookmarkStart w:id="49" w:name="_Toc2196"/>
      <w:r>
        <w:rPr>
          <w:rFonts w:hint="eastAsia" w:ascii="楷体" w:hAnsi="楷体" w:eastAsia="楷体" w:cs="楷体"/>
          <w:b/>
          <w:bCs/>
          <w:kern w:val="0"/>
          <w:sz w:val="32"/>
          <w:szCs w:val="32"/>
        </w:rPr>
        <w:t>（二）绩效评价</w:t>
      </w:r>
      <w:bookmarkEnd w:id="45"/>
      <w:bookmarkEnd w:id="46"/>
      <w:bookmarkEnd w:id="47"/>
      <w:r>
        <w:rPr>
          <w:rFonts w:hint="eastAsia" w:ascii="楷体" w:hAnsi="楷体" w:eastAsia="楷体" w:cs="楷体"/>
          <w:b/>
          <w:bCs/>
          <w:kern w:val="0"/>
          <w:sz w:val="32"/>
          <w:szCs w:val="32"/>
        </w:rPr>
        <w:t>指标与方法</w:t>
      </w:r>
      <w:bookmarkEnd w:id="48"/>
      <w:bookmarkEnd w:id="49"/>
    </w:p>
    <w:p w14:paraId="7437E429">
      <w:pPr>
        <w:spacing w:line="600" w:lineRule="exact"/>
        <w:ind w:firstLine="643"/>
        <w:outlineLvl w:val="9"/>
        <w:rPr>
          <w:rFonts w:ascii="仿宋" w:hAnsi="仿宋" w:cs="仿宋"/>
          <w:b/>
          <w:bCs/>
          <w:sz w:val="32"/>
          <w:szCs w:val="32"/>
        </w:rPr>
      </w:pPr>
      <w:r>
        <w:rPr>
          <w:rFonts w:hint="eastAsia" w:ascii="仿宋" w:hAnsi="仿宋" w:cs="仿宋"/>
          <w:b/>
          <w:bCs/>
          <w:sz w:val="32"/>
          <w:szCs w:val="32"/>
        </w:rPr>
        <w:t>1.绩效评价原则</w:t>
      </w:r>
    </w:p>
    <w:p w14:paraId="3BC45A51">
      <w:pPr>
        <w:spacing w:line="600" w:lineRule="exact"/>
        <w:ind w:firstLine="640" w:firstLineChars="200"/>
        <w:outlineLvl w:val="9"/>
        <w:rPr>
          <w:rFonts w:ascii="仿宋" w:hAnsi="仿宋" w:eastAsia="仿宋" w:cs="仿宋"/>
          <w:kern w:val="0"/>
          <w:sz w:val="32"/>
          <w:szCs w:val="32"/>
        </w:rPr>
      </w:pPr>
      <w:r>
        <w:rPr>
          <w:rFonts w:hint="eastAsia" w:ascii="仿宋" w:hAnsi="仿宋" w:eastAsia="仿宋" w:cs="仿宋"/>
          <w:kern w:val="0"/>
          <w:sz w:val="32"/>
          <w:szCs w:val="32"/>
        </w:rPr>
        <w:t>（1）科学规范原则。严格执行规定的程序，按照科学可行的要求，采用定量</w:t>
      </w:r>
      <w:r>
        <w:rPr>
          <w:rFonts w:hint="eastAsia" w:ascii="仿宋" w:hAnsi="仿宋" w:eastAsia="仿宋" w:cs="仿宋"/>
          <w:kern w:val="0"/>
          <w:sz w:val="32"/>
          <w:szCs w:val="32"/>
          <w:lang w:val="en-US" w:eastAsia="zh-CN"/>
        </w:rPr>
        <w:t>分析</w:t>
      </w:r>
      <w:r>
        <w:rPr>
          <w:rFonts w:hint="eastAsia" w:ascii="仿宋" w:hAnsi="仿宋" w:eastAsia="仿宋" w:cs="仿宋"/>
          <w:kern w:val="0"/>
          <w:sz w:val="32"/>
          <w:szCs w:val="32"/>
        </w:rPr>
        <w:t xml:space="preserve">与定性分析相结合的方法开展绩效评价工作。 </w:t>
      </w:r>
    </w:p>
    <w:p w14:paraId="21FCA54A">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（2）绩效相关原则。针对具体支出及其产出绩效进行评价，评价结果清晰反映支出和产出绩效之间的紧密对应关系。 </w:t>
      </w:r>
    </w:p>
    <w:p w14:paraId="1509D47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（3）政策相符原则。制定评价工作方案、现场评价表格及项目评价实施工作均应严格执行有关政策和管理规定。 </w:t>
      </w:r>
    </w:p>
    <w:p w14:paraId="0C9ECD9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（4）经济合理原则。既要节约成本又要满足项目绩效评价工作的需要。 </w:t>
      </w:r>
    </w:p>
    <w:p w14:paraId="5802FC57">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5）依据充分原则。绩效评价所涉及的绩效报告，法律政策文件，项目计划及资金的确定与调整，项目验收与项目成果等都应依据充分。绩效评价工作组以正式程序得到的资料和信息为评价的依据，非正式程序所提交的资料仅供参考。 </w:t>
      </w:r>
    </w:p>
    <w:p w14:paraId="190D5AF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（6）独立评价原则。评价活动不受任何机构和个人的干预和影响，独立</w:t>
      </w:r>
      <w:r>
        <w:rPr>
          <w:rFonts w:hint="eastAsia" w:ascii="仿宋" w:hAnsi="仿宋" w:eastAsia="仿宋" w:cs="仿宋"/>
          <w:kern w:val="0"/>
          <w:sz w:val="32"/>
          <w:szCs w:val="32"/>
          <w:lang w:val="en-US" w:eastAsia="zh-CN"/>
        </w:rPr>
        <w:t>作</w:t>
      </w:r>
      <w:r>
        <w:rPr>
          <w:rFonts w:hint="eastAsia" w:ascii="仿宋" w:hAnsi="仿宋" w:eastAsia="仿宋" w:cs="仿宋"/>
          <w:kern w:val="0"/>
          <w:sz w:val="32"/>
          <w:szCs w:val="32"/>
        </w:rPr>
        <w:t xml:space="preserve">出评价结论。 </w:t>
      </w:r>
    </w:p>
    <w:p w14:paraId="3218D0AA">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（7）回避原则。评价工作人员和绩效评价工作组不得与项目相关单位有任何利害关系，确保评价结论的客观公正。 </w:t>
      </w:r>
    </w:p>
    <w:p w14:paraId="7A10FA62">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（8）反馈原则。将评价的结果反馈给委托部门，作为有关部门以后年度安排项目预算、加强项目管理等工作的重要依据。 </w:t>
      </w:r>
    </w:p>
    <w:p w14:paraId="6591BA29">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（9）保密原则。绩效评价工作人员和绩效评价工作组，对与项目评价有关的所有信息资料负有保密义务，未经允许，不得散布。</w:t>
      </w:r>
    </w:p>
    <w:p w14:paraId="2845DC48">
      <w:pPr>
        <w:spacing w:line="600" w:lineRule="exact"/>
        <w:ind w:firstLine="643"/>
        <w:outlineLvl w:val="9"/>
        <w:rPr>
          <w:rFonts w:ascii="仿宋" w:hAnsi="仿宋" w:cs="仿宋"/>
          <w:b/>
          <w:bCs/>
          <w:sz w:val="32"/>
          <w:szCs w:val="32"/>
        </w:rPr>
      </w:pPr>
      <w:r>
        <w:rPr>
          <w:rFonts w:hint="eastAsia" w:ascii="仿宋" w:hAnsi="仿宋" w:cs="仿宋"/>
          <w:b/>
          <w:bCs/>
          <w:sz w:val="32"/>
          <w:szCs w:val="32"/>
        </w:rPr>
        <w:t>2.评价指标体系</w:t>
      </w:r>
    </w:p>
    <w:p w14:paraId="0C3B12AB">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根据《预算绩效评价共性指标体系框架》（财预〔2013〕53号）、《项目支出绩效评价管理办法》（财预〔2020〕10号）</w:t>
      </w:r>
      <w:r>
        <w:rPr>
          <w:rFonts w:hint="eastAsia" w:ascii="仿宋" w:hAnsi="仿宋" w:eastAsia="仿宋" w:cs="仿宋"/>
          <w:kern w:val="0"/>
          <w:sz w:val="32"/>
          <w:szCs w:val="32"/>
          <w:lang w:eastAsia="zh-CN"/>
        </w:rPr>
        <w:t>、</w:t>
      </w:r>
      <w:r>
        <w:rPr>
          <w:rFonts w:hint="eastAsia" w:ascii="仿宋" w:hAnsi="仿宋" w:eastAsia="仿宋" w:cs="仿宋"/>
          <w:kern w:val="0"/>
          <w:sz w:val="32"/>
          <w:szCs w:val="32"/>
          <w:highlight w:val="none"/>
        </w:rPr>
        <w:t>扶风县人民政府办公室关于印发《扶风县预算绩效管理实施细则（试行）》的通知</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扶政办发〔2022〕15号</w:t>
      </w:r>
      <w:r>
        <w:rPr>
          <w:rFonts w:hint="eastAsia" w:ascii="仿宋" w:hAnsi="仿宋" w:eastAsia="仿宋" w:cs="仿宋"/>
          <w:kern w:val="0"/>
          <w:sz w:val="32"/>
          <w:szCs w:val="32"/>
          <w:highlight w:val="none"/>
          <w:lang w:eastAsia="zh-CN"/>
        </w:rPr>
        <w:t>）、扶风县财政局《关于开展2023年度预算绩效评价工作的通知》（扶财办绩〔2023〕6号）</w:t>
      </w:r>
      <w:r>
        <w:rPr>
          <w:rFonts w:hint="eastAsia" w:ascii="仿宋" w:hAnsi="仿宋" w:eastAsia="仿宋" w:cs="仿宋"/>
          <w:kern w:val="0"/>
          <w:sz w:val="32"/>
          <w:szCs w:val="32"/>
        </w:rPr>
        <w:t>等有关规定，结合项目实际情况，本次评价共设置决策指标、过程指标、产出指标、效益指标4个一级指标，对一级指标细分为11个二级指标，对二级指标细分为18个三级指标。</w:t>
      </w:r>
    </w:p>
    <w:p w14:paraId="2999FF7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指标权重是指具体指标所占的分值，反映具体指标在指标体系中的重要性。本次绩效评价，对决策指标赋予18.0分、过程指标赋予22.0分、产出指标赋予36.0分、效益指标赋予24.0分，同时根据二、三级指标的重要性进行权重的分解。具体指标详见附件1《绩效评价指标体系及评分表》。</w:t>
      </w:r>
    </w:p>
    <w:p w14:paraId="20A8D710">
      <w:pPr>
        <w:spacing w:line="600" w:lineRule="exact"/>
        <w:ind w:firstLine="643"/>
        <w:outlineLvl w:val="9"/>
        <w:rPr>
          <w:rFonts w:ascii="仿宋" w:hAnsi="仿宋" w:cs="仿宋"/>
          <w:b/>
          <w:bCs/>
          <w:sz w:val="32"/>
          <w:szCs w:val="32"/>
        </w:rPr>
      </w:pPr>
      <w:r>
        <w:rPr>
          <w:rFonts w:hint="eastAsia" w:ascii="仿宋" w:hAnsi="仿宋" w:cs="仿宋"/>
          <w:b/>
          <w:bCs/>
          <w:sz w:val="32"/>
          <w:szCs w:val="32"/>
        </w:rPr>
        <w:t>3.评价方法</w:t>
      </w:r>
    </w:p>
    <w:p w14:paraId="4B7B5FDE">
      <w:pPr>
        <w:spacing w:line="600" w:lineRule="exact"/>
        <w:ind w:firstLine="640" w:firstLineChars="200"/>
        <w:outlineLvl w:val="9"/>
        <w:rPr>
          <w:rFonts w:ascii="仿宋" w:hAnsi="仿宋" w:eastAsia="仿宋" w:cs="仿宋"/>
          <w:kern w:val="0"/>
          <w:sz w:val="32"/>
          <w:szCs w:val="32"/>
        </w:rPr>
      </w:pPr>
      <w:bookmarkStart w:id="50" w:name="_Toc1910"/>
      <w:bookmarkStart w:id="51" w:name="_Toc29066"/>
      <w:bookmarkStart w:id="52" w:name="_Toc19283"/>
      <w:r>
        <w:rPr>
          <w:rFonts w:ascii="仿宋" w:hAnsi="仿宋" w:eastAsia="仿宋" w:cs="仿宋"/>
          <w:kern w:val="0"/>
          <w:sz w:val="32"/>
          <w:szCs w:val="32"/>
        </w:rPr>
        <w:t>本次评价由扶风县财政局组织实施，评价以访谈、材料核查、座谈、问卷调查、选点抽查为基础，坚持定量优先、简便有效的原则，综合运用比较法、因素分析法等方法，对国土空间总体规划编制工作经费资金的使用、项目管理、综合效益等情况进行整体评价，评价结果采取评分与评级相结合的方式。评价方法主要包括成本效益分析法、比较法、因素分析法、最低成本法、公众评判法、标杆管理法等。根据评价对象的具体情况，可采用一种或多种方法。</w:t>
      </w:r>
    </w:p>
    <w:p w14:paraId="15626921">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1</w:t>
      </w:r>
      <w:r>
        <w:rPr>
          <w:rFonts w:ascii="仿宋" w:hAnsi="仿宋" w:eastAsia="仿宋" w:cs="仿宋"/>
          <w:kern w:val="0"/>
          <w:sz w:val="32"/>
          <w:szCs w:val="32"/>
        </w:rPr>
        <w:t xml:space="preserve">）成本效益分析法。是指将投入与产出、效益进行关联性分析的方法。 </w:t>
      </w:r>
    </w:p>
    <w:p w14:paraId="1B061657">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2</w:t>
      </w:r>
      <w:r>
        <w:rPr>
          <w:rFonts w:ascii="仿宋" w:hAnsi="仿宋" w:eastAsia="仿宋" w:cs="仿宋"/>
          <w:kern w:val="0"/>
          <w:sz w:val="32"/>
          <w:szCs w:val="32"/>
        </w:rPr>
        <w:t>）比较法。是指将实施情况与绩效目标、历史情况、不同部门和地区同类支出情况进行比较的方法。</w:t>
      </w:r>
    </w:p>
    <w:p w14:paraId="395AB6D2">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3</w:t>
      </w:r>
      <w:r>
        <w:rPr>
          <w:rFonts w:ascii="仿宋" w:hAnsi="仿宋" w:eastAsia="仿宋" w:cs="仿宋"/>
          <w:kern w:val="0"/>
          <w:sz w:val="32"/>
          <w:szCs w:val="32"/>
        </w:rPr>
        <w:t>）因素分析法。是指综合分析影响绩效目标实现、实施效果的内外部因素的方法。</w:t>
      </w:r>
    </w:p>
    <w:p w14:paraId="0AF9CA45">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4</w:t>
      </w:r>
      <w:r>
        <w:rPr>
          <w:rFonts w:ascii="仿宋" w:hAnsi="仿宋" w:eastAsia="仿宋" w:cs="仿宋"/>
          <w:kern w:val="0"/>
          <w:sz w:val="32"/>
          <w:szCs w:val="32"/>
        </w:rPr>
        <w:t>）最低成本法。是指在绩效目标确定的前提下，成本最小者为优的方法。</w:t>
      </w:r>
    </w:p>
    <w:p w14:paraId="10F528DC">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5</w:t>
      </w:r>
      <w:r>
        <w:rPr>
          <w:rFonts w:ascii="仿宋" w:hAnsi="仿宋" w:eastAsia="仿宋" w:cs="仿宋"/>
          <w:kern w:val="0"/>
          <w:sz w:val="32"/>
          <w:szCs w:val="32"/>
        </w:rPr>
        <w:t>）公众评判法。是指通过专家评估、公众问卷及抽样调查等方式进行评判的方法。</w:t>
      </w:r>
    </w:p>
    <w:p w14:paraId="45462A2E">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6</w:t>
      </w:r>
      <w:r>
        <w:rPr>
          <w:rFonts w:ascii="仿宋" w:hAnsi="仿宋" w:eastAsia="仿宋" w:cs="仿宋"/>
          <w:kern w:val="0"/>
          <w:sz w:val="32"/>
          <w:szCs w:val="32"/>
        </w:rPr>
        <w:t>）标杆管理法。是指以国内外同行业中较高的绩效水平为标杆进行评判的方法。</w:t>
      </w:r>
    </w:p>
    <w:p w14:paraId="5D653A21">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7</w:t>
      </w:r>
      <w:r>
        <w:rPr>
          <w:rFonts w:ascii="仿宋" w:hAnsi="仿宋" w:eastAsia="仿宋" w:cs="仿宋"/>
          <w:kern w:val="0"/>
          <w:sz w:val="32"/>
          <w:szCs w:val="32"/>
        </w:rPr>
        <w:t>）其他评价方法。</w:t>
      </w:r>
    </w:p>
    <w:p w14:paraId="5AE99CDB">
      <w:pPr>
        <w:spacing w:line="600" w:lineRule="exact"/>
        <w:ind w:firstLine="643"/>
        <w:outlineLvl w:val="9"/>
        <w:rPr>
          <w:rFonts w:ascii="仿宋" w:hAnsi="仿宋" w:cs="仿宋"/>
          <w:b/>
          <w:bCs/>
          <w:sz w:val="32"/>
          <w:szCs w:val="32"/>
        </w:rPr>
      </w:pPr>
      <w:r>
        <w:rPr>
          <w:rFonts w:hint="eastAsia" w:ascii="仿宋" w:hAnsi="仿宋" w:cs="仿宋"/>
          <w:b/>
          <w:bCs/>
          <w:sz w:val="32"/>
          <w:szCs w:val="32"/>
        </w:rPr>
        <w:t>4.</w:t>
      </w:r>
      <w:bookmarkEnd w:id="50"/>
      <w:bookmarkEnd w:id="51"/>
      <w:r>
        <w:rPr>
          <w:rFonts w:hint="eastAsia" w:ascii="仿宋" w:hAnsi="仿宋" w:cs="仿宋"/>
          <w:b/>
          <w:bCs/>
          <w:sz w:val="32"/>
          <w:szCs w:val="32"/>
        </w:rPr>
        <w:t>评价结果等级划分</w:t>
      </w:r>
    </w:p>
    <w:p w14:paraId="2A794400">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财政部《项目支出绩效评价管理办法》（财预〔2020〕10号），本次绩效评价结果采取评分和评级相结合的方式，评价结论分为四级：评价得分大于或等于90分为优，80分（含）-90分为良，60分（含）-80分为中，小于60分为差。</w:t>
      </w:r>
    </w:p>
    <w:bookmarkEnd w:id="24"/>
    <w:bookmarkEnd w:id="25"/>
    <w:bookmarkEnd w:id="26"/>
    <w:bookmarkEnd w:id="27"/>
    <w:bookmarkEnd w:id="28"/>
    <w:bookmarkEnd w:id="29"/>
    <w:bookmarkEnd w:id="30"/>
    <w:bookmarkEnd w:id="31"/>
    <w:bookmarkEnd w:id="52"/>
    <w:p w14:paraId="23D5F93C">
      <w:pPr>
        <w:spacing w:line="600" w:lineRule="exact"/>
        <w:ind w:firstLine="643" w:firstLineChars="200"/>
        <w:outlineLvl w:val="1"/>
        <w:rPr>
          <w:rFonts w:ascii="楷体" w:hAnsi="楷体" w:eastAsia="楷体" w:cs="楷体"/>
          <w:b/>
          <w:bCs/>
          <w:kern w:val="0"/>
          <w:sz w:val="32"/>
          <w:szCs w:val="32"/>
        </w:rPr>
      </w:pPr>
      <w:bookmarkStart w:id="53" w:name="_Toc23298"/>
      <w:bookmarkStart w:id="54" w:name="_Toc22057"/>
      <w:bookmarkStart w:id="55" w:name="_Toc17254"/>
      <w:bookmarkStart w:id="56" w:name="_Toc15419"/>
      <w:bookmarkStart w:id="57" w:name="_Toc19747"/>
      <w:r>
        <w:rPr>
          <w:rFonts w:hint="eastAsia" w:ascii="楷体" w:hAnsi="楷体" w:eastAsia="楷体" w:cs="楷体"/>
          <w:b/>
          <w:bCs/>
          <w:kern w:val="0"/>
          <w:sz w:val="32"/>
          <w:szCs w:val="32"/>
        </w:rPr>
        <w:t>（三）绩效评价工作过程</w:t>
      </w:r>
      <w:bookmarkEnd w:id="53"/>
      <w:bookmarkEnd w:id="54"/>
      <w:bookmarkEnd w:id="55"/>
    </w:p>
    <w:p w14:paraId="2B2B1990">
      <w:pPr>
        <w:spacing w:line="600" w:lineRule="exact"/>
        <w:ind w:firstLine="643"/>
        <w:outlineLvl w:val="9"/>
        <w:rPr>
          <w:rFonts w:ascii="仿宋" w:hAnsi="仿宋" w:cs="仿宋"/>
          <w:b/>
          <w:bCs/>
          <w:sz w:val="32"/>
          <w:szCs w:val="32"/>
        </w:rPr>
      </w:pPr>
      <w:r>
        <w:rPr>
          <w:rFonts w:hint="eastAsia" w:ascii="仿宋" w:hAnsi="仿宋" w:cs="仿宋"/>
          <w:b/>
          <w:bCs/>
          <w:sz w:val="32"/>
          <w:szCs w:val="32"/>
        </w:rPr>
        <w:t>1.前期准备阶段</w:t>
      </w:r>
    </w:p>
    <w:p w14:paraId="044A568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（1）成立评价工作小组。由扶风县财政局</w:t>
      </w:r>
      <w:r>
        <w:rPr>
          <w:rFonts w:hint="eastAsia" w:ascii="仿宋" w:hAnsi="仿宋" w:eastAsia="仿宋" w:cs="仿宋"/>
          <w:kern w:val="0"/>
          <w:sz w:val="32"/>
          <w:szCs w:val="32"/>
          <w:lang w:val="en-US" w:eastAsia="zh-CN"/>
        </w:rPr>
        <w:t>相关业务股室</w:t>
      </w:r>
      <w:r>
        <w:rPr>
          <w:rFonts w:hint="eastAsia" w:ascii="仿宋" w:hAnsi="仿宋" w:eastAsia="仿宋" w:cs="仿宋"/>
          <w:kern w:val="0"/>
          <w:sz w:val="32"/>
          <w:szCs w:val="32"/>
        </w:rPr>
        <w:t>组成评价工作小组。扶风县财政局统一组织，召开绩效评价工作集中进点布置会</w:t>
      </w:r>
      <w:r>
        <w:rPr>
          <w:rFonts w:hint="eastAsia" w:ascii="仿宋" w:hAnsi="仿宋" w:eastAsia="仿宋" w:cs="仿宋"/>
          <w:kern w:val="0"/>
          <w:sz w:val="32"/>
          <w:szCs w:val="32"/>
          <w:lang w:val="en-US" w:eastAsia="zh-CN"/>
        </w:rPr>
        <w:t>及</w:t>
      </w:r>
      <w:r>
        <w:rPr>
          <w:rFonts w:hint="eastAsia" w:ascii="仿宋" w:hAnsi="仿宋" w:eastAsia="仿宋" w:cs="仿宋"/>
          <w:kern w:val="0"/>
          <w:sz w:val="32"/>
          <w:szCs w:val="32"/>
        </w:rPr>
        <w:t>业务培训会，明确工作任务、绩效评价流程、时间安排，评价小组依据评价工作安排及时下发重点绩效评价通知。</w:t>
      </w:r>
    </w:p>
    <w:p w14:paraId="715F3240">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收集评价相关资料。评价组长负责督促被评价单位，及时提供绩效目标申报表；目标完成情况印证资料；项目绩效自评报告；立项、执行、政策调整过程、管理组织实施等基础资料。并做好有关部门的沟通协调，确保资料收集工作顺利进行。</w:t>
      </w:r>
    </w:p>
    <w:p w14:paraId="118E47AB">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确定绩效评价方法。评价组长负责召集专家和小组成员，根据专项资金项目实施情况，结合评价对象属性和特点，确定绩效评价方法、评价指标体系和评价标准等内容，形成评价工作计划。有明确服务对象的项目，要研究制定项目满意度调查问卷，做好评价准备工作。</w:t>
      </w:r>
    </w:p>
    <w:p w14:paraId="2FAD0CF3">
      <w:pPr>
        <w:spacing w:line="600" w:lineRule="exact"/>
        <w:ind w:firstLine="643"/>
        <w:outlineLvl w:val="9"/>
        <w:rPr>
          <w:rFonts w:ascii="仿宋" w:hAnsi="仿宋" w:cs="仿宋"/>
          <w:b/>
          <w:bCs/>
          <w:sz w:val="32"/>
          <w:szCs w:val="32"/>
        </w:rPr>
      </w:pPr>
      <w:r>
        <w:rPr>
          <w:rFonts w:hint="eastAsia" w:ascii="仿宋" w:hAnsi="仿宋" w:cs="仿宋"/>
          <w:b/>
          <w:bCs/>
          <w:sz w:val="32"/>
          <w:szCs w:val="32"/>
        </w:rPr>
        <w:t>2.组织实施阶段</w:t>
      </w:r>
    </w:p>
    <w:p w14:paraId="0F13929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掌握项目实施基本情况。评价小组深入被评价单位，听取项目单位关于专项资金管理使用、项目实施效果等情况汇报，实际核查项目立项、实施、竣工验收、财务决算、工程结算审核报告等资料，整理数据文本形成评价工作底稿。</w:t>
      </w:r>
    </w:p>
    <w:p w14:paraId="6396E334">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核实绩效目标完成情况。评价小组对项目单位提交的资料进行审核，并对收集的资料进行核实分析，要求被评价单位及时补充缺失的资料，核实查证全部资料后，开展现场勘查，座谈询问、发放调查问卷，查阅账本、凭证按程序进行项目重点评价。</w:t>
      </w:r>
    </w:p>
    <w:p w14:paraId="55C2D429">
      <w:pPr>
        <w:spacing w:line="600" w:lineRule="exact"/>
        <w:ind w:firstLine="643" w:firstLineChars="200"/>
        <w:outlineLvl w:val="9"/>
        <w:rPr>
          <w:rFonts w:ascii="仿宋" w:hAnsi="仿宋" w:eastAsia="仿宋" w:cs="仿宋"/>
          <w:b/>
          <w:bCs/>
          <w:sz w:val="32"/>
          <w:szCs w:val="32"/>
        </w:rPr>
      </w:pPr>
      <w:r>
        <w:rPr>
          <w:rFonts w:hint="eastAsia" w:ascii="仿宋" w:hAnsi="仿宋" w:eastAsia="仿宋" w:cs="仿宋"/>
          <w:b/>
          <w:bCs/>
          <w:sz w:val="32"/>
          <w:szCs w:val="32"/>
        </w:rPr>
        <w:t>3.分析评价阶段</w:t>
      </w:r>
    </w:p>
    <w:p w14:paraId="0265CAD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对收集的数据和资料进行汇总分析，依据项目支出绩效评价指标进行评分。绩效评价依照法律法规、国家有关政策以及绩效评价指标体系评分标准，结合被评价单位的实际情况，根据绩效评价查证或者认定的事实，客观公正、实事求是地对绩效情况进行写实性描述。对项目实施过程中比较突出的、创新性、建设性的做法进行总结，对项目存在的问题原因进行分析，提出针对性的建议。</w:t>
      </w:r>
    </w:p>
    <w:p w14:paraId="0B7738D2">
      <w:pPr>
        <w:spacing w:line="600" w:lineRule="exact"/>
        <w:ind w:firstLine="643" w:firstLineChars="200"/>
        <w:outlineLvl w:val="9"/>
        <w:rPr>
          <w:rFonts w:ascii="仿宋" w:hAnsi="仿宋" w:eastAsia="仿宋" w:cs="仿宋"/>
          <w:b/>
          <w:bCs/>
          <w:sz w:val="32"/>
          <w:szCs w:val="32"/>
        </w:rPr>
      </w:pPr>
      <w:r>
        <w:rPr>
          <w:rFonts w:hint="eastAsia" w:ascii="仿宋" w:hAnsi="仿宋" w:cs="仿宋"/>
          <w:b/>
          <w:bCs/>
          <w:sz w:val="32"/>
          <w:szCs w:val="32"/>
        </w:rPr>
        <w:t>4.</w:t>
      </w:r>
      <w:r>
        <w:rPr>
          <w:rFonts w:hint="eastAsia" w:ascii="仿宋" w:hAnsi="仿宋" w:eastAsia="仿宋" w:cs="仿宋"/>
          <w:b/>
          <w:bCs/>
          <w:sz w:val="32"/>
          <w:szCs w:val="32"/>
        </w:rPr>
        <w:t>撰写报告阶段</w:t>
      </w:r>
    </w:p>
    <w:p w14:paraId="47DD1FF2">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（1）整理复核资料。根据资料的审核情况，结合现场勘查，评价小组按工作分工，整理评价所需的基本资料和数据。</w:t>
      </w:r>
    </w:p>
    <w:p w14:paraId="034E2779">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（2）形成初步结论。按照专项资金的评价方法、评价标准、评价指标对评价对象的绩效情况进行全面的定量、定性分析和综合评价量化打分，对本组评价结果进行汇总，形成初步结论。</w:t>
      </w:r>
    </w:p>
    <w:p w14:paraId="2BB8FFE1">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（3）反馈征求意见。评价小组将评价的初步结论反馈到资金主管部门，征求对被评价单位意见。</w:t>
      </w:r>
    </w:p>
    <w:p w14:paraId="0AA22EB7">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（4）完成正式报告。结合被评价单位的反馈意见撰写形成正式报告。</w:t>
      </w:r>
    </w:p>
    <w:p w14:paraId="2116DF46">
      <w:pPr>
        <w:spacing w:line="600" w:lineRule="exact"/>
        <w:ind w:firstLine="643"/>
        <w:outlineLvl w:val="9"/>
        <w:rPr>
          <w:rFonts w:ascii="仿宋" w:hAnsi="仿宋" w:cs="仿宋"/>
          <w:b/>
          <w:bCs/>
          <w:sz w:val="32"/>
          <w:szCs w:val="32"/>
        </w:rPr>
      </w:pPr>
      <w:r>
        <w:rPr>
          <w:rFonts w:hint="eastAsia" w:ascii="仿宋" w:hAnsi="仿宋" w:cs="仿宋"/>
          <w:b/>
          <w:bCs/>
          <w:sz w:val="32"/>
          <w:szCs w:val="32"/>
        </w:rPr>
        <w:t>5.评价结果反馈阶段</w:t>
      </w:r>
    </w:p>
    <w:p w14:paraId="37D2220B">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绩效评价结束后，由评价小组提出整改建议，</w:t>
      </w:r>
      <w:r>
        <w:rPr>
          <w:rFonts w:hint="eastAsia" w:ascii="仿宋" w:hAnsi="仿宋" w:eastAsia="仿宋" w:cs="仿宋"/>
          <w:kern w:val="0"/>
          <w:sz w:val="32"/>
          <w:szCs w:val="32"/>
          <w:lang w:val="en-US" w:eastAsia="zh-CN"/>
        </w:rPr>
        <w:t>经</w:t>
      </w:r>
      <w:r>
        <w:rPr>
          <w:rFonts w:hint="eastAsia" w:ascii="仿宋" w:hAnsi="仿宋" w:eastAsia="仿宋" w:cs="仿宋"/>
          <w:kern w:val="0"/>
          <w:sz w:val="32"/>
          <w:szCs w:val="32"/>
        </w:rPr>
        <w:t>业务股室审定后，将评价报告反馈给资金使用部门。绩效评价结果在一定范围内公开，并作为安排下一年度预算安排的依据。</w:t>
      </w:r>
    </w:p>
    <w:p w14:paraId="10ABEB94">
      <w:pPr>
        <w:spacing w:before="104" w:line="600" w:lineRule="exact"/>
        <w:ind w:firstLine="672"/>
        <w:outlineLvl w:val="0"/>
        <w:rPr>
          <w:rFonts w:ascii="黑体" w:hAnsi="黑体" w:eastAsia="黑体" w:cs="黑体"/>
          <w:spacing w:val="-2"/>
          <w:sz w:val="32"/>
          <w:szCs w:val="32"/>
        </w:rPr>
      </w:pPr>
      <w:bookmarkStart w:id="58" w:name="_Toc30051"/>
      <w:r>
        <w:rPr>
          <w:rFonts w:hint="eastAsia" w:ascii="黑体" w:hAnsi="黑体" w:eastAsia="黑体" w:cs="黑体"/>
          <w:spacing w:val="-2"/>
          <w:sz w:val="32"/>
          <w:szCs w:val="32"/>
        </w:rPr>
        <w:t>三、综合评价情况及评价结论</w:t>
      </w:r>
      <w:bookmarkEnd w:id="56"/>
      <w:bookmarkEnd w:id="58"/>
    </w:p>
    <w:p w14:paraId="69B155C2">
      <w:pPr>
        <w:adjustRightInd w:val="0"/>
        <w:snapToGrid w:val="0"/>
        <w:spacing w:line="600" w:lineRule="exact"/>
        <w:ind w:firstLine="640" w:firstLineChars="200"/>
        <w:rPr>
          <w:rFonts w:ascii="仿宋" w:hAnsi="仿宋" w:eastAsia="仿宋" w:cs="仿宋"/>
          <w:kern w:val="0"/>
          <w:sz w:val="32"/>
          <w:szCs w:val="32"/>
        </w:rPr>
      </w:pPr>
      <w:bookmarkStart w:id="59" w:name="_Toc21717"/>
      <w:r>
        <w:rPr>
          <w:rFonts w:hint="eastAsia" w:ascii="仿宋" w:hAnsi="仿宋" w:eastAsia="仿宋" w:cs="仿宋"/>
          <w:kern w:val="0"/>
          <w:sz w:val="32"/>
          <w:szCs w:val="32"/>
        </w:rPr>
        <w:t>按照确定的评分细则，通过对各项指标逐一评价打分，国土空间总体规划编制工作经费绩效评价得分为87.0分，评价结果等级为“良”，评分情况详见下表。</w:t>
      </w:r>
    </w:p>
    <w:p w14:paraId="608E38AF">
      <w:pPr>
        <w:pStyle w:val="21"/>
        <w:ind w:left="0" w:leftChars="0" w:firstLine="0" w:firstLineChars="0"/>
        <w:jc w:val="center"/>
        <w:rPr>
          <w:rFonts w:ascii="仿宋" w:hAnsi="仿宋" w:eastAsia="仿宋" w:cs="仿宋"/>
          <w:b/>
          <w:bCs/>
          <w:kern w:val="0"/>
          <w:sz w:val="32"/>
          <w:szCs w:val="32"/>
        </w:rPr>
      </w:pPr>
      <w:r>
        <w:rPr>
          <w:rFonts w:ascii="仿宋" w:hAnsi="仿宋" w:eastAsia="仿宋" w:cs="仿宋"/>
          <w:b/>
          <w:bCs/>
          <w:kern w:val="0"/>
          <w:sz w:val="32"/>
          <w:szCs w:val="32"/>
        </w:rPr>
        <w:t>绩效指标评分表</w:t>
      </w:r>
    </w:p>
    <w:tbl>
      <w:tblPr>
        <w:tblStyle w:val="15"/>
        <w:tblW w:w="5000" w:type="pct"/>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2009"/>
        <w:gridCol w:w="2010"/>
        <w:gridCol w:w="2010"/>
        <w:gridCol w:w="2437"/>
      </w:tblGrid>
      <w:tr w14:paraId="53D00BD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trPr>
        <w:tc>
          <w:tcPr>
            <w:tcW w:w="5000" w:type="pct"/>
            <w:gridSpan w:val="4"/>
            <w:vAlign w:val="center"/>
          </w:tcPr>
          <w:p w14:paraId="2FFE4739">
            <w:pPr>
              <w:pStyle w:val="21"/>
              <w:ind w:firstLine="0"/>
              <w:jc w:val="center"/>
              <w:rPr>
                <w:rFonts w:ascii="仿宋" w:hAnsi="仿宋" w:eastAsia="仿宋" w:cs="仿宋"/>
                <w:kern w:val="0"/>
                <w:sz w:val="32"/>
                <w:szCs w:val="32"/>
              </w:rPr>
            </w:pPr>
            <w:r>
              <w:rPr>
                <w:rFonts w:hint="eastAsia" w:ascii="仿宋" w:hAnsi="仿宋" w:eastAsia="仿宋" w:cs="仿宋"/>
                <w:kern w:val="0"/>
                <w:sz w:val="32"/>
                <w:szCs w:val="32"/>
              </w:rPr>
              <w:t>报告绩效指标评分表</w:t>
            </w:r>
          </w:p>
        </w:tc>
      </w:tr>
      <w:tr w14:paraId="6127744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trPr>
        <w:tc>
          <w:tcPr>
            <w:tcW w:w="1187" w:type="pct"/>
            <w:vAlign w:val="center"/>
          </w:tcPr>
          <w:p w14:paraId="17924C9F">
            <w:pPr>
              <w:pStyle w:val="21"/>
              <w:ind w:firstLine="0"/>
              <w:jc w:val="center"/>
              <w:rPr>
                <w:rFonts w:ascii="仿宋" w:hAnsi="仿宋" w:eastAsia="仿宋" w:cs="仿宋"/>
                <w:kern w:val="0"/>
                <w:sz w:val="32"/>
                <w:szCs w:val="32"/>
              </w:rPr>
            </w:pPr>
            <w:r>
              <w:rPr>
                <w:rFonts w:hint="eastAsia" w:ascii="仿宋" w:hAnsi="仿宋" w:eastAsia="仿宋" w:cs="仿宋"/>
                <w:kern w:val="0"/>
                <w:sz w:val="32"/>
                <w:szCs w:val="32"/>
              </w:rPr>
              <w:t>一级指标</w:t>
            </w:r>
          </w:p>
        </w:tc>
        <w:tc>
          <w:tcPr>
            <w:tcW w:w="1187" w:type="pct"/>
            <w:vAlign w:val="center"/>
          </w:tcPr>
          <w:p w14:paraId="12C266ED">
            <w:pPr>
              <w:pStyle w:val="21"/>
              <w:ind w:firstLine="0"/>
              <w:jc w:val="center"/>
              <w:rPr>
                <w:rFonts w:ascii="仿宋" w:hAnsi="仿宋" w:eastAsia="仿宋" w:cs="仿宋"/>
                <w:kern w:val="0"/>
                <w:sz w:val="32"/>
                <w:szCs w:val="32"/>
              </w:rPr>
            </w:pPr>
            <w:r>
              <w:rPr>
                <w:rFonts w:hint="eastAsia" w:ascii="仿宋" w:hAnsi="仿宋" w:eastAsia="仿宋" w:cs="仿宋"/>
                <w:kern w:val="0"/>
                <w:sz w:val="32"/>
                <w:szCs w:val="32"/>
              </w:rPr>
              <w:t>分值</w:t>
            </w:r>
          </w:p>
        </w:tc>
        <w:tc>
          <w:tcPr>
            <w:tcW w:w="1187" w:type="pct"/>
            <w:vAlign w:val="center"/>
          </w:tcPr>
          <w:p w14:paraId="03FC075B">
            <w:pPr>
              <w:pStyle w:val="21"/>
              <w:ind w:firstLine="0"/>
              <w:jc w:val="center"/>
              <w:rPr>
                <w:rFonts w:ascii="仿宋" w:hAnsi="仿宋" w:eastAsia="仿宋" w:cs="仿宋"/>
                <w:kern w:val="0"/>
                <w:sz w:val="32"/>
                <w:szCs w:val="32"/>
              </w:rPr>
            </w:pPr>
            <w:r>
              <w:rPr>
                <w:rFonts w:hint="eastAsia" w:ascii="仿宋" w:hAnsi="仿宋" w:eastAsia="仿宋" w:cs="仿宋"/>
                <w:kern w:val="0"/>
                <w:sz w:val="32"/>
                <w:szCs w:val="32"/>
              </w:rPr>
              <w:t>得分</w:t>
            </w:r>
          </w:p>
        </w:tc>
        <w:tc>
          <w:tcPr>
            <w:tcW w:w="1440" w:type="pct"/>
            <w:vAlign w:val="center"/>
          </w:tcPr>
          <w:p w14:paraId="1FFF19A1">
            <w:pPr>
              <w:pStyle w:val="21"/>
              <w:ind w:firstLine="0"/>
              <w:jc w:val="center"/>
              <w:rPr>
                <w:rFonts w:ascii="仿宋" w:hAnsi="仿宋" w:eastAsia="仿宋" w:cs="仿宋"/>
                <w:kern w:val="0"/>
                <w:sz w:val="32"/>
                <w:szCs w:val="32"/>
              </w:rPr>
            </w:pPr>
            <w:r>
              <w:rPr>
                <w:rFonts w:hint="eastAsia" w:ascii="仿宋" w:hAnsi="仿宋" w:eastAsia="仿宋" w:cs="仿宋"/>
                <w:kern w:val="0"/>
                <w:sz w:val="32"/>
                <w:szCs w:val="32"/>
              </w:rPr>
              <w:t>得分率</w:t>
            </w:r>
          </w:p>
        </w:tc>
      </w:tr>
      <w:tr w14:paraId="2A65ACC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2C9EF42E">
            <w:pPr>
              <w:jc w:val="center"/>
            </w:pPr>
            <w:r>
              <w:rPr>
                <w:rFonts w:ascii="仿宋" w:hAnsi="仿宋" w:eastAsia="仿宋" w:cs="仿宋"/>
                <w:b w:val="0"/>
                <w:sz w:val="32"/>
              </w:rPr>
              <w:t>决策指标</w:t>
            </w:r>
          </w:p>
        </w:tc>
        <w:tc>
          <w:p w14:paraId="3845F083">
            <w:pPr>
              <w:jc w:val="center"/>
            </w:pPr>
            <w:r>
              <w:rPr>
                <w:rFonts w:ascii="仿宋" w:hAnsi="仿宋" w:eastAsia="仿宋" w:cs="仿宋"/>
                <w:b w:val="0"/>
                <w:sz w:val="32"/>
              </w:rPr>
              <w:t>18.0</w:t>
            </w:r>
          </w:p>
        </w:tc>
        <w:tc>
          <w:p w14:paraId="25FA54D4">
            <w:pPr>
              <w:jc w:val="center"/>
            </w:pPr>
            <w:r>
              <w:rPr>
                <w:rFonts w:ascii="仿宋" w:hAnsi="仿宋" w:eastAsia="仿宋" w:cs="仿宋"/>
                <w:b w:val="0"/>
                <w:sz w:val="32"/>
              </w:rPr>
              <w:t>11.0</w:t>
            </w:r>
          </w:p>
        </w:tc>
        <w:tc>
          <w:p w14:paraId="5542E8C1">
            <w:pPr>
              <w:jc w:val="center"/>
            </w:pPr>
            <w:r>
              <w:rPr>
                <w:rFonts w:ascii="仿宋" w:hAnsi="仿宋" w:eastAsia="仿宋" w:cs="仿宋"/>
                <w:b w:val="0"/>
                <w:sz w:val="32"/>
              </w:rPr>
              <w:t>61.11%</w:t>
            </w:r>
          </w:p>
        </w:tc>
      </w:tr>
      <w:tr w14:paraId="1BFED5C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47CB40AA">
            <w:pPr>
              <w:jc w:val="center"/>
            </w:pPr>
            <w:r>
              <w:rPr>
                <w:rFonts w:ascii="仿宋" w:hAnsi="仿宋" w:eastAsia="仿宋" w:cs="仿宋"/>
                <w:b w:val="0"/>
                <w:sz w:val="32"/>
              </w:rPr>
              <w:t>过程指标</w:t>
            </w:r>
          </w:p>
        </w:tc>
        <w:tc>
          <w:p w14:paraId="2BC7C13A">
            <w:pPr>
              <w:jc w:val="center"/>
            </w:pPr>
            <w:r>
              <w:rPr>
                <w:rFonts w:ascii="仿宋" w:hAnsi="仿宋" w:eastAsia="仿宋" w:cs="仿宋"/>
                <w:b w:val="0"/>
                <w:sz w:val="32"/>
              </w:rPr>
              <w:t>22.0</w:t>
            </w:r>
          </w:p>
        </w:tc>
        <w:tc>
          <w:p w14:paraId="0C1862E3">
            <w:pPr>
              <w:jc w:val="center"/>
            </w:pPr>
            <w:r>
              <w:rPr>
                <w:rFonts w:ascii="仿宋" w:hAnsi="仿宋" w:eastAsia="仿宋" w:cs="仿宋"/>
                <w:b w:val="0"/>
                <w:sz w:val="32"/>
              </w:rPr>
              <w:t>16.0</w:t>
            </w:r>
          </w:p>
        </w:tc>
        <w:tc>
          <w:p w14:paraId="2A3A9038">
            <w:pPr>
              <w:jc w:val="center"/>
            </w:pPr>
            <w:r>
              <w:rPr>
                <w:rFonts w:ascii="仿宋" w:hAnsi="仿宋" w:eastAsia="仿宋" w:cs="仿宋"/>
                <w:b w:val="0"/>
                <w:sz w:val="32"/>
              </w:rPr>
              <w:t>72.73%</w:t>
            </w:r>
          </w:p>
        </w:tc>
      </w:tr>
      <w:tr w14:paraId="0EF053C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41B696AB">
            <w:pPr>
              <w:jc w:val="center"/>
            </w:pPr>
            <w:r>
              <w:rPr>
                <w:rFonts w:ascii="仿宋" w:hAnsi="仿宋" w:eastAsia="仿宋" w:cs="仿宋"/>
                <w:b w:val="0"/>
                <w:sz w:val="32"/>
              </w:rPr>
              <w:t>产出指标</w:t>
            </w:r>
          </w:p>
        </w:tc>
        <w:tc>
          <w:p w14:paraId="4364414D">
            <w:pPr>
              <w:jc w:val="center"/>
            </w:pPr>
            <w:r>
              <w:rPr>
                <w:rFonts w:ascii="仿宋" w:hAnsi="仿宋" w:eastAsia="仿宋" w:cs="仿宋"/>
                <w:b w:val="0"/>
                <w:sz w:val="32"/>
              </w:rPr>
              <w:t>36.0</w:t>
            </w:r>
          </w:p>
        </w:tc>
        <w:tc>
          <w:p w14:paraId="694BBCBD">
            <w:pPr>
              <w:jc w:val="center"/>
            </w:pPr>
            <w:r>
              <w:rPr>
                <w:rFonts w:ascii="仿宋" w:hAnsi="仿宋" w:eastAsia="仿宋" w:cs="仿宋"/>
                <w:b w:val="0"/>
                <w:sz w:val="32"/>
              </w:rPr>
              <w:t>36.0</w:t>
            </w:r>
          </w:p>
        </w:tc>
        <w:tc>
          <w:p w14:paraId="4724D69B">
            <w:pPr>
              <w:jc w:val="center"/>
            </w:pPr>
            <w:r>
              <w:rPr>
                <w:rFonts w:ascii="仿宋" w:hAnsi="仿宋" w:eastAsia="仿宋" w:cs="仿宋"/>
                <w:b w:val="0"/>
                <w:sz w:val="32"/>
              </w:rPr>
              <w:t>100.00%</w:t>
            </w:r>
          </w:p>
        </w:tc>
      </w:tr>
      <w:tr w14:paraId="6F65B3A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298AFC67">
            <w:pPr>
              <w:jc w:val="center"/>
            </w:pPr>
            <w:r>
              <w:rPr>
                <w:rFonts w:ascii="仿宋" w:hAnsi="仿宋" w:eastAsia="仿宋" w:cs="仿宋"/>
                <w:b w:val="0"/>
                <w:sz w:val="32"/>
              </w:rPr>
              <w:t>效益指标</w:t>
            </w:r>
          </w:p>
        </w:tc>
        <w:tc>
          <w:p w14:paraId="09722018">
            <w:pPr>
              <w:jc w:val="center"/>
            </w:pPr>
            <w:r>
              <w:rPr>
                <w:rFonts w:ascii="仿宋" w:hAnsi="仿宋" w:eastAsia="仿宋" w:cs="仿宋"/>
                <w:b w:val="0"/>
                <w:sz w:val="32"/>
              </w:rPr>
              <w:t>24.0</w:t>
            </w:r>
          </w:p>
        </w:tc>
        <w:tc>
          <w:p w14:paraId="490FEFBD">
            <w:pPr>
              <w:jc w:val="center"/>
            </w:pPr>
            <w:r>
              <w:rPr>
                <w:rFonts w:ascii="仿宋" w:hAnsi="仿宋" w:eastAsia="仿宋" w:cs="仿宋"/>
                <w:b w:val="0"/>
                <w:sz w:val="32"/>
              </w:rPr>
              <w:t>24.0</w:t>
            </w:r>
          </w:p>
        </w:tc>
        <w:tc>
          <w:p w14:paraId="75D3E360">
            <w:pPr>
              <w:jc w:val="center"/>
            </w:pPr>
            <w:r>
              <w:rPr>
                <w:rFonts w:ascii="仿宋" w:hAnsi="仿宋" w:eastAsia="仿宋" w:cs="仿宋"/>
                <w:b w:val="0"/>
                <w:sz w:val="32"/>
              </w:rPr>
              <w:t>100.00%</w:t>
            </w:r>
          </w:p>
        </w:tc>
      </w:tr>
    </w:tbl>
    <w:p w14:paraId="4A6DEB70">
      <w:pPr>
        <w:keepNext w:val="0"/>
        <w:keepLines w:val="0"/>
        <w:pageBreakBefore w:val="0"/>
        <w:widowControl w:val="0"/>
        <w:kinsoku/>
        <w:wordWrap/>
        <w:overflowPunct/>
        <w:topLinePunct w:val="0"/>
        <w:autoSpaceDE/>
        <w:autoSpaceDN/>
        <w:bidi w:val="0"/>
        <w:spacing w:before="104" w:line="600" w:lineRule="exact"/>
        <w:ind w:firstLine="632" w:firstLineChars="200"/>
        <w:textAlignment w:val="auto"/>
        <w:outlineLvl w:val="0"/>
        <w:rPr>
          <w:rFonts w:ascii="黑体" w:hAnsi="黑体" w:eastAsia="黑体" w:cs="黑体"/>
          <w:spacing w:val="-2"/>
          <w:sz w:val="32"/>
          <w:szCs w:val="32"/>
        </w:rPr>
      </w:pPr>
      <w:bookmarkStart w:id="60" w:name="_Toc6847"/>
      <w:r>
        <w:rPr>
          <w:rFonts w:hint="eastAsia" w:ascii="黑体" w:hAnsi="黑体" w:eastAsia="黑体" w:cs="黑体"/>
          <w:spacing w:val="-2"/>
          <w:sz w:val="32"/>
          <w:szCs w:val="32"/>
        </w:rPr>
        <w:t>四、</w:t>
      </w:r>
      <w:bookmarkEnd w:id="32"/>
      <w:bookmarkEnd w:id="33"/>
      <w:bookmarkEnd w:id="34"/>
      <w:r>
        <w:rPr>
          <w:rFonts w:hint="eastAsia" w:ascii="黑体" w:hAnsi="黑体" w:eastAsia="黑体" w:cs="黑体"/>
          <w:spacing w:val="-2"/>
          <w:sz w:val="32"/>
          <w:szCs w:val="32"/>
        </w:rPr>
        <w:t>绩效评价指标分析</w:t>
      </w:r>
      <w:bookmarkEnd w:id="35"/>
      <w:bookmarkEnd w:id="36"/>
      <w:bookmarkEnd w:id="37"/>
      <w:bookmarkEnd w:id="38"/>
      <w:bookmarkEnd w:id="57"/>
      <w:bookmarkEnd w:id="59"/>
      <w:bookmarkEnd w:id="60"/>
      <w:bookmarkStart w:id="61" w:name="_Toc4780_WPSOffice_Level2"/>
      <w:bookmarkStart w:id="62" w:name="_Toc26570_WPSOffice_Level2"/>
      <w:bookmarkStart w:id="63" w:name="_Hlk2366513"/>
      <w:bookmarkStart w:id="64" w:name="_Toc24823_WPSOffice_Level2"/>
      <w:bookmarkStart w:id="65" w:name="_Toc379"/>
      <w:bookmarkStart w:id="66" w:name="_Toc18549_WPSOffice_Level2"/>
      <w:bookmarkStart w:id="67" w:name="_Toc28988"/>
      <w:bookmarkStart w:id="68" w:name="_Toc17947"/>
    </w:p>
    <w:p w14:paraId="7586807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69" w:name="_Toc32191"/>
      <w:r>
        <w:rPr>
          <w:rFonts w:hint="eastAsia" w:ascii="楷体_GB2312" w:hAnsi="楷体_GB2312" w:eastAsia="楷体_GB2312" w:cs="楷体_GB2312"/>
          <w:b/>
          <w:bCs/>
          <w:kern w:val="0"/>
          <w:sz w:val="32"/>
          <w:szCs w:val="32"/>
        </w:rPr>
        <w:t>（一）决策指标（满分18.0分，实得11.0分）</w:t>
      </w:r>
      <w:bookmarkEnd w:id="69"/>
    </w:p>
    <w:p w14:paraId="11FEBB0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1、项目立项（满分6.0分，实得6.0分）</w:t>
      </w:r>
    </w:p>
    <w:p w14:paraId="65C0ABE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（1）立项依据充分性（满分3.0分，实得3.0分）</w:t>
      </w:r>
    </w:p>
    <w:p w14:paraId="4BC9809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为了贯彻落实《陕西省国土空间规划（202</w:t>
      </w:r>
      <w:r>
        <w:rPr>
          <w:rFonts w:hint="eastAsia" w:ascii="仿宋" w:hAnsi="仿宋" w:eastAsia="仿宋" w:cs="仿宋"/>
          <w:kern w:val="0"/>
          <w:sz w:val="32"/>
          <w:szCs w:val="32"/>
          <w:lang w:val="en-US" w:eastAsia="zh-CN"/>
        </w:rPr>
        <w:t>0</w:t>
      </w:r>
      <w:r>
        <w:rPr>
          <w:rFonts w:ascii="仿宋" w:hAnsi="仿宋" w:eastAsia="仿宋" w:cs="仿宋"/>
          <w:kern w:val="0"/>
          <w:sz w:val="32"/>
          <w:szCs w:val="32"/>
        </w:rPr>
        <w:t>—2035年）》，执行《扶风县国土空间总体规划（202</w:t>
      </w:r>
      <w:r>
        <w:rPr>
          <w:rFonts w:hint="eastAsia" w:ascii="仿宋" w:hAnsi="仿宋" w:eastAsia="仿宋" w:cs="仿宋"/>
          <w:kern w:val="0"/>
          <w:sz w:val="32"/>
          <w:szCs w:val="32"/>
          <w:lang w:val="en-US" w:eastAsia="zh-CN"/>
        </w:rPr>
        <w:t>0</w:t>
      </w:r>
      <w:r>
        <w:rPr>
          <w:rFonts w:ascii="仿宋" w:hAnsi="仿宋" w:eastAsia="仿宋" w:cs="仿宋"/>
          <w:kern w:val="0"/>
          <w:sz w:val="32"/>
          <w:szCs w:val="32"/>
        </w:rPr>
        <w:t>-2035年）》，扶风县自然资源局决定实施国土空间总体规划编制工作项目</w:t>
      </w:r>
      <w:r>
        <w:rPr>
          <w:rFonts w:hint="eastAsia" w:ascii="仿宋" w:hAnsi="仿宋" w:eastAsia="仿宋" w:cs="仿宋"/>
          <w:kern w:val="0"/>
          <w:sz w:val="32"/>
          <w:szCs w:val="32"/>
          <w:lang w:eastAsia="zh-CN"/>
        </w:rPr>
        <w:t>，</w:t>
      </w:r>
      <w:r>
        <w:rPr>
          <w:rFonts w:ascii="仿宋" w:hAnsi="仿宋" w:eastAsia="仿宋" w:cs="仿宋"/>
          <w:kern w:val="0"/>
          <w:sz w:val="32"/>
          <w:szCs w:val="32"/>
        </w:rPr>
        <w:t>项目由扶风县自然资源局具体负责实施</w:t>
      </w:r>
      <w:r>
        <w:rPr>
          <w:rFonts w:hint="eastAsia" w:ascii="仿宋" w:hAnsi="仿宋" w:eastAsia="仿宋" w:cs="仿宋"/>
          <w:kern w:val="0"/>
          <w:sz w:val="32"/>
          <w:szCs w:val="32"/>
          <w:lang w:eastAsia="zh-CN"/>
        </w:rPr>
        <w:t>。</w:t>
      </w:r>
      <w:r>
        <w:rPr>
          <w:rFonts w:ascii="仿宋" w:hAnsi="仿宋" w:eastAsia="仿宋" w:cs="仿宋"/>
          <w:kern w:val="0"/>
          <w:sz w:val="32"/>
          <w:szCs w:val="32"/>
        </w:rPr>
        <w:t>经分析，项目立项符合</w:t>
      </w:r>
      <w:r>
        <w:rPr>
          <w:rFonts w:hint="eastAsia" w:ascii="仿宋" w:hAnsi="仿宋" w:eastAsia="仿宋" w:cs="仿宋"/>
          <w:kern w:val="0"/>
          <w:sz w:val="32"/>
          <w:szCs w:val="32"/>
          <w:lang w:val="en-US" w:eastAsia="zh-CN"/>
        </w:rPr>
        <w:t>省市县规划，</w:t>
      </w:r>
      <w:r>
        <w:rPr>
          <w:rFonts w:ascii="仿宋" w:hAnsi="仿宋" w:eastAsia="仿宋" w:cs="仿宋"/>
          <w:kern w:val="0"/>
          <w:sz w:val="32"/>
          <w:szCs w:val="32"/>
        </w:rPr>
        <w:t>与部门职责范围相符合，属于公共财政支持范围，与相关部门同类项目不重复。</w:t>
      </w:r>
    </w:p>
    <w:p w14:paraId="54C7B48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7BB38AC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（2）立项程序规范性（满分3.0分，实得3.0分）</w:t>
      </w:r>
    </w:p>
    <w:p w14:paraId="55C9F87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经扶风县自然资源局内部集体研究决策，报扶风县人民政府审核，于扶风县第十九届人大常委会第12次会议审定通过。经分析，项目已经按照规定的程序申请设立，审批文件、材料符合相关要求，事前已经过必要的可行性研究、集体决策。</w:t>
      </w:r>
    </w:p>
    <w:p w14:paraId="4778F39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45C1C3D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2、绩效目标（满分7.0分，实得0.0分）</w:t>
      </w:r>
    </w:p>
    <w:p w14:paraId="778952B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（1）绩效目标合理性（满分4.0分，实得0.0分）</w:t>
      </w:r>
    </w:p>
    <w:p w14:paraId="7F92FB0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w:t>
      </w:r>
      <w:r>
        <w:rPr>
          <w:rFonts w:hint="eastAsia" w:ascii="仿宋" w:hAnsi="仿宋" w:eastAsia="仿宋" w:cs="仿宋"/>
          <w:kern w:val="0"/>
          <w:sz w:val="32"/>
          <w:szCs w:val="32"/>
          <w:lang w:val="en-US" w:eastAsia="zh-CN"/>
        </w:rPr>
        <w:t>单位未提供</w:t>
      </w:r>
      <w:r>
        <w:rPr>
          <w:rFonts w:ascii="仿宋" w:hAnsi="仿宋" w:eastAsia="仿宋" w:cs="仿宋"/>
          <w:kern w:val="0"/>
          <w:sz w:val="32"/>
          <w:szCs w:val="32"/>
        </w:rPr>
        <w:t>绩效目标申报</w:t>
      </w:r>
      <w:r>
        <w:rPr>
          <w:rFonts w:hint="eastAsia" w:ascii="仿宋" w:hAnsi="仿宋" w:eastAsia="仿宋" w:cs="仿宋"/>
          <w:kern w:val="0"/>
          <w:sz w:val="32"/>
          <w:szCs w:val="32"/>
          <w:lang w:val="en-US" w:eastAsia="zh-CN"/>
        </w:rPr>
        <w:t>表</w:t>
      </w:r>
      <w:r>
        <w:rPr>
          <w:rFonts w:ascii="仿宋" w:hAnsi="仿宋" w:eastAsia="仿宋" w:cs="仿宋"/>
          <w:kern w:val="0"/>
          <w:sz w:val="32"/>
          <w:szCs w:val="32"/>
        </w:rPr>
        <w:t>。</w:t>
      </w:r>
    </w:p>
    <w:p w14:paraId="46FF267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根据评分标准，本指标满分4.0分，扣4.0分，评价得0.0分。</w:t>
      </w:r>
    </w:p>
    <w:p w14:paraId="445B442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（2）绩效指标明确性（满分3.0分，实得0.0分）</w:t>
      </w:r>
    </w:p>
    <w:p w14:paraId="3380317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w:t>
      </w:r>
      <w:r>
        <w:rPr>
          <w:rFonts w:hint="eastAsia" w:ascii="仿宋" w:hAnsi="仿宋" w:eastAsia="仿宋" w:cs="仿宋"/>
          <w:kern w:val="0"/>
          <w:sz w:val="32"/>
          <w:szCs w:val="32"/>
          <w:lang w:val="en-US" w:eastAsia="zh-CN"/>
        </w:rPr>
        <w:t>单位未提供</w:t>
      </w:r>
      <w:r>
        <w:rPr>
          <w:rFonts w:ascii="仿宋" w:hAnsi="仿宋" w:eastAsia="仿宋" w:cs="仿宋"/>
          <w:kern w:val="0"/>
          <w:sz w:val="32"/>
          <w:szCs w:val="32"/>
        </w:rPr>
        <w:t>绩效目标申报</w:t>
      </w:r>
      <w:r>
        <w:rPr>
          <w:rFonts w:hint="eastAsia" w:ascii="仿宋" w:hAnsi="仿宋" w:eastAsia="仿宋" w:cs="仿宋"/>
          <w:kern w:val="0"/>
          <w:sz w:val="32"/>
          <w:szCs w:val="32"/>
          <w:lang w:val="en-US" w:eastAsia="zh-CN"/>
        </w:rPr>
        <w:t>表</w:t>
      </w:r>
      <w:r>
        <w:rPr>
          <w:rFonts w:ascii="仿宋" w:hAnsi="仿宋" w:eastAsia="仿宋" w:cs="仿宋"/>
          <w:kern w:val="0"/>
          <w:sz w:val="32"/>
          <w:szCs w:val="32"/>
        </w:rPr>
        <w:t>。</w:t>
      </w:r>
    </w:p>
    <w:p w14:paraId="5BDFE8C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根据评分标准，本指标满分3.0分，扣3.0分，评价得0.0分。</w:t>
      </w:r>
    </w:p>
    <w:p w14:paraId="2439D1E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3、资金投入（满分5.0分，实得5.0分）</w:t>
      </w:r>
    </w:p>
    <w:p w14:paraId="017A081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（1）预算编制科学性（满分2.0分，实得2.0分）</w:t>
      </w:r>
    </w:p>
    <w:p w14:paraId="23ACEFF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经扶风县自然资源局内部集体研究决策，报扶风县人民政府审核，</w:t>
      </w:r>
      <w:r>
        <w:rPr>
          <w:rFonts w:hint="eastAsia" w:ascii="仿宋" w:hAnsi="仿宋" w:eastAsia="仿宋" w:cs="仿宋"/>
          <w:kern w:val="0"/>
          <w:sz w:val="32"/>
          <w:szCs w:val="32"/>
          <w:lang w:val="en-US" w:eastAsia="zh-CN"/>
        </w:rPr>
        <w:t>经</w:t>
      </w:r>
      <w:r>
        <w:rPr>
          <w:rFonts w:ascii="仿宋" w:hAnsi="仿宋" w:eastAsia="仿宋" w:cs="仿宋"/>
          <w:kern w:val="0"/>
          <w:sz w:val="32"/>
          <w:szCs w:val="32"/>
        </w:rPr>
        <w:t>扶风县第十九届人大常委会第12次会议审定通过。经分析，预算编制经过科学论证，预算内容与项目内容相匹配，预算额度测算依据充分，预算确定的项目投资额与工作任务相匹配。</w:t>
      </w:r>
    </w:p>
    <w:p w14:paraId="6E62F4C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根据评分标准，本指标满分2.0分，扣0.0分，评价得2.0分。</w:t>
      </w:r>
    </w:p>
    <w:p w14:paraId="5E819A6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（2）资金分配合理性（满分3.0分，实得3.0分）</w:t>
      </w:r>
    </w:p>
    <w:p w14:paraId="6DE1E6F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项目预算资金列入部门预算，经</w:t>
      </w:r>
      <w:r>
        <w:rPr>
          <w:rFonts w:hint="eastAsia" w:ascii="仿宋" w:hAnsi="仿宋" w:eastAsia="仿宋" w:cs="仿宋"/>
          <w:kern w:val="0"/>
          <w:sz w:val="32"/>
          <w:szCs w:val="32"/>
          <w:lang w:val="en-US" w:eastAsia="zh-CN"/>
        </w:rPr>
        <w:t>扶风县</w:t>
      </w:r>
      <w:r>
        <w:rPr>
          <w:rFonts w:ascii="仿宋" w:hAnsi="仿宋" w:eastAsia="仿宋" w:cs="仿宋"/>
          <w:kern w:val="0"/>
          <w:sz w:val="32"/>
          <w:szCs w:val="32"/>
        </w:rPr>
        <w:t>人代会批准后，由财政下达给扶风县自然资源局。经分析，预算资金分配依据充分，资金分配额度合理、与项目实际相适应。</w:t>
      </w:r>
    </w:p>
    <w:p w14:paraId="1F5C287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2475E0F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0" w:name="_Toc1779"/>
      <w:r>
        <w:rPr>
          <w:rFonts w:hint="eastAsia" w:ascii="楷体_GB2312" w:hAnsi="楷体_GB2312" w:eastAsia="楷体_GB2312" w:cs="楷体_GB2312"/>
          <w:b/>
          <w:bCs/>
          <w:kern w:val="0"/>
          <w:sz w:val="32"/>
          <w:szCs w:val="32"/>
        </w:rPr>
        <w:t>（二）过程指标（满分22.0分，实得16.0分）</w:t>
      </w:r>
      <w:bookmarkEnd w:id="70"/>
    </w:p>
    <w:p w14:paraId="01BDBC4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1、资金管理（满分11.0分，实得11.0分）</w:t>
      </w:r>
    </w:p>
    <w:p w14:paraId="44D075A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（1）资金到位率（满分4.0分，实得4.0分）</w:t>
      </w:r>
    </w:p>
    <w:p w14:paraId="24A92A1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评价小组查阅了项目有关的预算资金下达文件：扶风县财政局于2023年5月4日</w:t>
      </w:r>
      <w:r>
        <w:rPr>
          <w:rFonts w:hint="eastAsia" w:ascii="仿宋" w:hAnsi="仿宋" w:eastAsia="仿宋" w:cs="仿宋"/>
          <w:kern w:val="0"/>
          <w:sz w:val="32"/>
          <w:szCs w:val="32"/>
          <w:lang w:val="en-US" w:eastAsia="zh-CN"/>
        </w:rPr>
        <w:t>根据</w:t>
      </w:r>
      <w:r>
        <w:rPr>
          <w:rFonts w:ascii="仿宋" w:hAnsi="仿宋" w:eastAsia="仿宋" w:cs="仿宋"/>
          <w:kern w:val="0"/>
          <w:sz w:val="32"/>
          <w:szCs w:val="32"/>
        </w:rPr>
        <w:t>《扶风县自然资源局关于申请拨付扶风县国土空间总体规划编制工作经费的报告》（扶自然资字〔2023〕74号）向扶风县自然资源局下达项目资金240万元，资金到位率100.00%。</w:t>
      </w:r>
    </w:p>
    <w:p w14:paraId="7B3CA84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根据评分标准，本指标满分4.0分，扣0.0分，评价得4.0分。</w:t>
      </w:r>
    </w:p>
    <w:p w14:paraId="1071E6A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（2）预算执行率（满分5.0分，实得5.0分）</w:t>
      </w:r>
    </w:p>
    <w:p w14:paraId="4FB01C0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项目实际到位资金为240万元，实际支出资金240万元，预算执行率100.00%。</w:t>
      </w:r>
    </w:p>
    <w:p w14:paraId="38A5302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根据评分标准，本指标满分5.0分，扣0.0分，评价得5.0分。</w:t>
      </w:r>
    </w:p>
    <w:p w14:paraId="7CE02FB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（3）资金使用合规性（满分2.0分，实得2.0分）</w:t>
      </w:r>
    </w:p>
    <w:p w14:paraId="174ECF4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项目资金支付时</w:t>
      </w:r>
      <w:r>
        <w:rPr>
          <w:rFonts w:hint="eastAsia" w:ascii="仿宋" w:hAnsi="仿宋" w:eastAsia="仿宋" w:cs="仿宋"/>
          <w:kern w:val="0"/>
          <w:sz w:val="32"/>
          <w:szCs w:val="32"/>
          <w:lang w:eastAsia="zh-CN"/>
        </w:rPr>
        <w:t>，</w:t>
      </w:r>
      <w:r>
        <w:rPr>
          <w:rFonts w:ascii="仿宋" w:hAnsi="仿宋" w:eastAsia="仿宋" w:cs="仿宋"/>
          <w:kern w:val="0"/>
          <w:sz w:val="32"/>
          <w:szCs w:val="32"/>
        </w:rPr>
        <w:t>由陕西空间规划研究院有限公司提出申请，经扶风县自然资源局审核及批准。项目达到合同规定的付款条件，凭合同、发票、验收资料等，按照</w:t>
      </w:r>
      <w:r>
        <w:rPr>
          <w:rFonts w:hint="eastAsia" w:ascii="仿宋" w:hAnsi="仿宋" w:eastAsia="仿宋" w:cs="仿宋"/>
          <w:kern w:val="0"/>
          <w:sz w:val="32"/>
          <w:szCs w:val="32"/>
          <w:lang w:val="en-US" w:eastAsia="zh-CN"/>
        </w:rPr>
        <w:t>审</w:t>
      </w:r>
      <w:bookmarkStart w:id="82" w:name="_GoBack"/>
      <w:bookmarkEnd w:id="82"/>
      <w:r>
        <w:rPr>
          <w:rFonts w:ascii="仿宋" w:hAnsi="仿宋" w:eastAsia="仿宋" w:cs="仿宋"/>
          <w:kern w:val="0"/>
          <w:sz w:val="32"/>
          <w:szCs w:val="32"/>
        </w:rPr>
        <w:t>批流程批准后，资金直接支付给施工单位。经分析，项目资金的支出符合国家财经法规的规定，资金的拨付有完整的审批程序和手续，符合项目合同规定的用途，不存在截留、挤占、挪用、虚列支出等情况。</w:t>
      </w:r>
    </w:p>
    <w:p w14:paraId="6C70802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根据评分标准，本指标满分2.0分，扣0.0分，评价得2.0分。</w:t>
      </w:r>
    </w:p>
    <w:p w14:paraId="010B04F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2、组织实施（满分11.0分，实得5.0分）</w:t>
      </w:r>
    </w:p>
    <w:p w14:paraId="1AD486D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（1）项目采购规范性（满分5.0分，实得5.0分）</w:t>
      </w:r>
    </w:p>
    <w:p w14:paraId="0AA345C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扶风县自然资源局委托陕西上德招标有限公司于2020年11月03日，通过公开招标方式确定施工单位为陕西空间规划研究院有限公司。经分析，项目采购执行了内部决策程序，项目按照相关政策执行政府采购程序，项目采购方式符合规定。</w:t>
      </w:r>
    </w:p>
    <w:p w14:paraId="5A240D9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根据评分标准，本指标满分5.0分，扣0.0分，评价得5.0分。</w:t>
      </w:r>
    </w:p>
    <w:p w14:paraId="42739A5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（2）管理制度健全性（满分2.0分，实得0.0分）</w:t>
      </w:r>
    </w:p>
    <w:p w14:paraId="3A15E26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项目单位未制定相应的财务和业务管理制度。</w:t>
      </w:r>
    </w:p>
    <w:p w14:paraId="75DBF9E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根据评分标准，本指标满分2.0分，扣2.0分，评价得0.0分。</w:t>
      </w:r>
    </w:p>
    <w:p w14:paraId="4AF0E84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（3）绩效自评规范性（满分4.0分，实得0.0分）</w:t>
      </w:r>
    </w:p>
    <w:p w14:paraId="5A98FA3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项目实施单位未进行绩效自评，未编制报告及打分表。</w:t>
      </w:r>
    </w:p>
    <w:p w14:paraId="5896AF1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根据评分标准，本指标满分4.0分，扣4.0分，评价得0.0分。</w:t>
      </w:r>
    </w:p>
    <w:p w14:paraId="393E8AF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1" w:name="_Toc4715"/>
      <w:r>
        <w:rPr>
          <w:rFonts w:hint="eastAsia" w:ascii="楷体_GB2312" w:hAnsi="楷体_GB2312" w:eastAsia="楷体_GB2312" w:cs="楷体_GB2312"/>
          <w:b/>
          <w:bCs/>
          <w:kern w:val="0"/>
          <w:sz w:val="32"/>
          <w:szCs w:val="32"/>
        </w:rPr>
        <w:t>（三）产出指标（满分36.0分，实得36.0分）</w:t>
      </w:r>
      <w:bookmarkEnd w:id="71"/>
    </w:p>
    <w:p w14:paraId="29C2063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1、数量指标（满分9.0分，实得9.0分）</w:t>
      </w:r>
    </w:p>
    <w:p w14:paraId="48CC2AC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实际完成率（满分9.0分，实得9.0分）</w:t>
      </w:r>
    </w:p>
    <w:p w14:paraId="3808F02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项目完成</w:t>
      </w:r>
      <w:r>
        <w:rPr>
          <w:rFonts w:hint="eastAsia" w:ascii="仿宋" w:hAnsi="仿宋" w:eastAsia="仿宋" w:cs="仿宋"/>
          <w:kern w:val="0"/>
          <w:sz w:val="32"/>
          <w:szCs w:val="32"/>
          <w:lang w:eastAsia="zh-CN"/>
        </w:rPr>
        <w:t>《</w:t>
      </w:r>
      <w:r>
        <w:rPr>
          <w:rFonts w:ascii="仿宋" w:hAnsi="仿宋" w:eastAsia="仿宋" w:cs="仿宋"/>
          <w:kern w:val="0"/>
          <w:sz w:val="32"/>
          <w:szCs w:val="32"/>
        </w:rPr>
        <w:t>国土空间总体规划重要专题研究内容</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初稿</w:t>
      </w:r>
      <w:r>
        <w:rPr>
          <w:rFonts w:ascii="仿宋" w:hAnsi="仿宋" w:eastAsia="仿宋" w:cs="仿宋"/>
          <w:kern w:val="0"/>
          <w:sz w:val="32"/>
          <w:szCs w:val="32"/>
        </w:rPr>
        <w:t>，提交委托方和相关部门研讨及征询意见，项目计划内容已全部实施。</w:t>
      </w:r>
    </w:p>
    <w:p w14:paraId="4DB4F29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4520252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2、质量指标（满分9.0分，实得9.0分）</w:t>
      </w:r>
    </w:p>
    <w:p w14:paraId="1D5A1E7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质量合格率（满分9.0分，实得9.0分）</w:t>
      </w:r>
    </w:p>
    <w:p w14:paraId="2086EBB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完成国土空间总体规划重要专题研究内容，提交委托方和相关部门研讨及征询意见已完成，质量合格。</w:t>
      </w:r>
    </w:p>
    <w:p w14:paraId="7D9BCC9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5559987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3、时效指标（满分9.0分，实得9.0分）</w:t>
      </w:r>
    </w:p>
    <w:p w14:paraId="615A0F2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完成及时率（满分9.0分，实得9.0分）</w:t>
      </w:r>
    </w:p>
    <w:p w14:paraId="4893D74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项目已</w:t>
      </w:r>
      <w:r>
        <w:rPr>
          <w:rFonts w:hint="eastAsia" w:ascii="仿宋" w:hAnsi="仿宋" w:eastAsia="仿宋" w:cs="仿宋"/>
          <w:kern w:val="0"/>
          <w:sz w:val="32"/>
          <w:szCs w:val="32"/>
          <w:highlight w:val="none"/>
          <w:lang w:val="en-US" w:eastAsia="zh-CN"/>
        </w:rPr>
        <w:t>完成《 扶风县国土空间总体规划（2021-2035年）（审议稿）》编制，并于 2023年6月1日</w:t>
      </w:r>
      <w:r>
        <w:rPr>
          <w:rFonts w:ascii="仿宋" w:hAnsi="仿宋" w:eastAsia="仿宋" w:cs="仿宋"/>
          <w:kern w:val="0"/>
          <w:sz w:val="32"/>
          <w:szCs w:val="32"/>
          <w:highlight w:val="none"/>
        </w:rPr>
        <w:t>研讨及征询意见</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在</w:t>
      </w:r>
      <w:r>
        <w:rPr>
          <w:rFonts w:ascii="仿宋" w:hAnsi="仿宋" w:eastAsia="仿宋" w:cs="仿宋"/>
          <w:kern w:val="0"/>
          <w:sz w:val="32"/>
          <w:szCs w:val="32"/>
          <w:highlight w:val="none"/>
        </w:rPr>
        <w:t>约定时间内完成。</w:t>
      </w:r>
    </w:p>
    <w:p w14:paraId="36FD399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5AD8316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4、成本指标（满分9.0分，实得9.0分）</w:t>
      </w:r>
    </w:p>
    <w:p w14:paraId="112B8AA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成本节约率（满分9.0分，实得9.0分）</w:t>
      </w:r>
    </w:p>
    <w:p w14:paraId="092BCC3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项目实际到位资金为240万元，实际支出资金240万元，成本节约率为0%。</w:t>
      </w:r>
    </w:p>
    <w:p w14:paraId="0C5782A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6DAF1040">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2" w:name="_Toc437"/>
      <w:r>
        <w:rPr>
          <w:rFonts w:hint="eastAsia" w:ascii="楷体_GB2312" w:hAnsi="楷体_GB2312" w:eastAsia="楷体_GB2312" w:cs="楷体_GB2312"/>
          <w:b/>
          <w:bCs/>
          <w:kern w:val="0"/>
          <w:sz w:val="32"/>
          <w:szCs w:val="32"/>
        </w:rPr>
        <w:t>（四）效益指标（满分24.0分，实得24.0分）</w:t>
      </w:r>
      <w:bookmarkEnd w:id="72"/>
    </w:p>
    <w:p w14:paraId="6C5226B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1、社会效益（满分18.0分，实得18.0分）</w:t>
      </w:r>
    </w:p>
    <w:p w14:paraId="1CF36FE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（1）优化城市的空间布局，加强区域间的合作与交流（满分18.0分，实得18.0分）</w:t>
      </w:r>
    </w:p>
    <w:p w14:paraId="777B6BF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有助于优化城乡空间结构，提高土地使用效率，促进区域协调发展。</w:t>
      </w:r>
    </w:p>
    <w:p w14:paraId="449B3FE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根据评分标准，本指标满分18.0分，扣0.0分，评价得18.0分。</w:t>
      </w:r>
    </w:p>
    <w:p w14:paraId="45BDA40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2、满意度（满分6.0分，实得6.0分）</w:t>
      </w:r>
    </w:p>
    <w:p w14:paraId="780EF84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（1）社会公众满意度（满分6.0分，实得6.0分）</w:t>
      </w:r>
    </w:p>
    <w:p w14:paraId="681319A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评价组机构通过抽样共计发放20份问卷，社会公众对项目的整体评价为非常满意。满意度调查情况详见《调查问卷分析》。</w:t>
      </w:r>
    </w:p>
    <w:p w14:paraId="5935A76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根据评分标准，本指标满分6.0分，扣0.0分，评价得6.0分。</w:t>
      </w:r>
    </w:p>
    <w:p w14:paraId="2DFE900A">
      <w:pPr>
        <w:spacing w:before="104" w:line="600" w:lineRule="exact"/>
        <w:ind w:firstLine="672"/>
        <w:outlineLvl w:val="0"/>
        <w:rPr>
          <w:rFonts w:ascii="黑体" w:hAnsi="黑体" w:eastAsia="黑体" w:cs="黑体"/>
          <w:spacing w:val="-2"/>
          <w:sz w:val="32"/>
          <w:szCs w:val="32"/>
        </w:rPr>
      </w:pPr>
      <w:bookmarkStart w:id="73" w:name="_Toc10740"/>
      <w:r>
        <w:rPr>
          <w:rFonts w:hint="eastAsia" w:ascii="黑体" w:hAnsi="黑体" w:eastAsia="黑体" w:cs="黑体"/>
          <w:spacing w:val="-2"/>
          <w:sz w:val="32"/>
          <w:szCs w:val="32"/>
          <w:lang w:val="en-US" w:eastAsia="zh-CN"/>
        </w:rPr>
        <w:t>五</w:t>
      </w:r>
      <w:r>
        <w:rPr>
          <w:rFonts w:hint="eastAsia" w:ascii="黑体" w:hAnsi="黑体" w:eastAsia="黑体" w:cs="黑体"/>
          <w:spacing w:val="-2"/>
          <w:sz w:val="32"/>
          <w:szCs w:val="32"/>
        </w:rPr>
        <w:t>、存在的问题</w:t>
      </w:r>
      <w:bookmarkEnd w:id="73"/>
    </w:p>
    <w:p w14:paraId="1F21D41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4" w:name="_Toc3407"/>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lang w:val="en-US" w:eastAsia="zh-CN"/>
        </w:rPr>
        <w:t>一</w:t>
      </w:r>
      <w:r>
        <w:rPr>
          <w:rFonts w:hint="eastAsia" w:ascii="楷体_GB2312" w:hAnsi="楷体_GB2312" w:eastAsia="楷体_GB2312" w:cs="楷体_GB2312"/>
          <w:b/>
          <w:bCs/>
          <w:kern w:val="0"/>
          <w:sz w:val="32"/>
          <w:szCs w:val="32"/>
          <w:lang w:eastAsia="zh-CN"/>
        </w:rPr>
        <w:t>）项目</w:t>
      </w:r>
      <w:r>
        <w:rPr>
          <w:rFonts w:hint="eastAsia" w:ascii="楷体_GB2312" w:hAnsi="楷体_GB2312" w:eastAsia="楷体_GB2312" w:cs="楷体_GB2312"/>
          <w:b/>
          <w:bCs/>
          <w:kern w:val="0"/>
          <w:sz w:val="32"/>
          <w:szCs w:val="32"/>
          <w:lang w:val="en-US" w:eastAsia="zh-CN"/>
        </w:rPr>
        <w:t>单位未提供</w:t>
      </w:r>
      <w:r>
        <w:rPr>
          <w:rFonts w:hint="eastAsia" w:ascii="楷体_GB2312" w:hAnsi="楷体_GB2312" w:eastAsia="楷体_GB2312" w:cs="楷体_GB2312"/>
          <w:b/>
          <w:bCs/>
          <w:kern w:val="0"/>
          <w:sz w:val="32"/>
          <w:szCs w:val="32"/>
          <w:lang w:eastAsia="zh-CN"/>
        </w:rPr>
        <w:t>绩效目标申报</w:t>
      </w:r>
      <w:r>
        <w:rPr>
          <w:rFonts w:hint="eastAsia" w:ascii="楷体_GB2312" w:hAnsi="楷体_GB2312" w:eastAsia="楷体_GB2312" w:cs="楷体_GB2312"/>
          <w:b/>
          <w:bCs/>
          <w:kern w:val="0"/>
          <w:sz w:val="32"/>
          <w:szCs w:val="32"/>
          <w:lang w:val="en-US" w:eastAsia="zh-CN"/>
        </w:rPr>
        <w:t>表</w:t>
      </w:r>
      <w:bookmarkEnd w:id="74"/>
    </w:p>
    <w:p w14:paraId="3DA35AF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5" w:name="_Toc21410"/>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lang w:val="en-US" w:eastAsia="zh-CN"/>
        </w:rPr>
        <w:t>二</w:t>
      </w:r>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rPr>
        <w:t>管理制度不健全，绩效管理有待加强</w:t>
      </w:r>
      <w:bookmarkEnd w:id="75"/>
    </w:p>
    <w:p w14:paraId="29C255A7">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项目单位未制定相应的财务和业务管理制度，不利于项目的绩效管理。</w:t>
      </w:r>
    </w:p>
    <w:p w14:paraId="26F8F78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lang w:eastAsia="zh-CN"/>
        </w:rPr>
      </w:pPr>
      <w:bookmarkStart w:id="76" w:name="_Toc24942"/>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lang w:val="en-US" w:eastAsia="zh-CN"/>
        </w:rPr>
        <w:t>三</w:t>
      </w:r>
      <w:r>
        <w:rPr>
          <w:rFonts w:hint="eastAsia" w:ascii="楷体_GB2312" w:hAnsi="楷体_GB2312" w:eastAsia="楷体_GB2312" w:cs="楷体_GB2312"/>
          <w:b/>
          <w:bCs/>
          <w:kern w:val="0"/>
          <w:sz w:val="32"/>
          <w:szCs w:val="32"/>
          <w:lang w:eastAsia="zh-CN"/>
        </w:rPr>
        <w:t>）项目实施单位未进行绩效自评</w:t>
      </w:r>
      <w:bookmarkEnd w:id="76"/>
    </w:p>
    <w:p w14:paraId="123FA9D1">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项目实施单位未进行绩效自评，未编制报告及打分表。</w:t>
      </w:r>
    </w:p>
    <w:p w14:paraId="4B6865C7">
      <w:pPr>
        <w:spacing w:line="600" w:lineRule="exact"/>
        <w:ind w:firstLine="632" w:firstLineChars="200"/>
        <w:outlineLvl w:val="0"/>
        <w:rPr>
          <w:rFonts w:ascii="黑体" w:hAnsi="黑体" w:eastAsia="黑体" w:cs="黑体"/>
          <w:spacing w:val="-2"/>
          <w:sz w:val="32"/>
          <w:szCs w:val="32"/>
        </w:rPr>
      </w:pPr>
      <w:bookmarkStart w:id="77" w:name="_Toc16364"/>
      <w:r>
        <w:rPr>
          <w:rFonts w:hint="eastAsia" w:ascii="黑体" w:hAnsi="黑体" w:eastAsia="黑体" w:cs="黑体"/>
          <w:spacing w:val="-2"/>
          <w:sz w:val="32"/>
          <w:szCs w:val="32"/>
          <w:lang w:val="en-US" w:eastAsia="zh-CN"/>
        </w:rPr>
        <w:t>六</w:t>
      </w:r>
      <w:r>
        <w:rPr>
          <w:rFonts w:hint="eastAsia" w:ascii="黑体" w:hAnsi="黑体" w:eastAsia="黑体" w:cs="黑体"/>
          <w:spacing w:val="-2"/>
          <w:sz w:val="32"/>
          <w:szCs w:val="32"/>
        </w:rPr>
        <w:t>、建议</w:t>
      </w:r>
      <w:bookmarkEnd w:id="77"/>
    </w:p>
    <w:p w14:paraId="685BE96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lang w:eastAsia="zh-CN"/>
        </w:rPr>
      </w:pPr>
      <w:bookmarkStart w:id="78" w:name="_Toc20030"/>
      <w:r>
        <w:rPr>
          <w:rFonts w:hint="eastAsia" w:ascii="楷体_GB2312" w:hAnsi="楷体_GB2312" w:eastAsia="楷体_GB2312" w:cs="楷体_GB2312"/>
          <w:b/>
          <w:bCs/>
          <w:kern w:val="0"/>
          <w:sz w:val="32"/>
          <w:szCs w:val="32"/>
          <w:lang w:eastAsia="zh-CN"/>
        </w:rPr>
        <w:t>（一）设置项目的绩效目标及指标</w:t>
      </w:r>
      <w:bookmarkEnd w:id="78"/>
    </w:p>
    <w:p w14:paraId="40AFC584">
      <w:pPr>
        <w:spacing w:line="600" w:lineRule="exact"/>
        <w:ind w:firstLine="640" w:firstLineChars="200"/>
      </w:pPr>
      <w:r>
        <w:rPr>
          <w:rFonts w:hint="eastAsia" w:ascii="仿宋" w:hAnsi="仿宋" w:eastAsia="仿宋" w:cs="仿宋"/>
          <w:kern w:val="0"/>
          <w:sz w:val="32"/>
          <w:szCs w:val="32"/>
        </w:rPr>
        <w:t>在财政预算管理过程中，设置绩效目标能确保公共资金的有效利用和项目的顺利实施。通过明确绩效目标，政府部门和项目实施单位可以清晰地了解项目的预期成果和效益，从而有针对性地制定实施计划和资金配置方案。</w:t>
      </w:r>
    </w:p>
    <w:p w14:paraId="144A7257">
      <w:pPr>
        <w:spacing w:line="600" w:lineRule="exact"/>
        <w:ind w:firstLine="640" w:firstLineChars="200"/>
      </w:pPr>
      <w:r>
        <w:rPr>
          <w:rFonts w:hint="eastAsia" w:ascii="仿宋" w:hAnsi="仿宋" w:eastAsia="仿宋" w:cs="仿宋"/>
          <w:kern w:val="0"/>
          <w:sz w:val="32"/>
          <w:szCs w:val="32"/>
        </w:rPr>
        <w:t>在财政预算管理过程中，设置明确、具体、可衡量的绩效指标能确保财政预算资金项目的有效执行和评估。绩效指标不仅反映了项目的预期成果和效益，还为项目的实施、监控和评估提供了明确的指导和依据。绩效指标也为项目的监督和评估提供了具体的量化依据，有助于及时发现问题、调整策略，确保项目的顺利实施和达成预期目标。</w:t>
      </w:r>
    </w:p>
    <w:p w14:paraId="117EC8D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lang w:eastAsia="zh-CN"/>
        </w:rPr>
      </w:pPr>
      <w:bookmarkStart w:id="79" w:name="_Toc8599"/>
      <w:r>
        <w:rPr>
          <w:rFonts w:hint="eastAsia" w:ascii="楷体_GB2312" w:hAnsi="楷体_GB2312" w:eastAsia="楷体_GB2312" w:cs="楷体_GB2312"/>
          <w:b/>
          <w:bCs/>
          <w:kern w:val="0"/>
          <w:sz w:val="32"/>
          <w:szCs w:val="32"/>
          <w:lang w:eastAsia="zh-CN"/>
        </w:rPr>
        <w:t>（二）制定相关制度，加强绩效管理</w:t>
      </w:r>
      <w:bookmarkEnd w:id="79"/>
    </w:p>
    <w:p w14:paraId="7BACEB1D">
      <w:pPr>
        <w:spacing w:line="600" w:lineRule="exact"/>
        <w:ind w:firstLine="640" w:firstLineChars="200"/>
      </w:pPr>
      <w:r>
        <w:rPr>
          <w:rFonts w:hint="eastAsia" w:ascii="仿宋" w:hAnsi="仿宋" w:eastAsia="仿宋" w:cs="仿宋"/>
          <w:kern w:val="0"/>
          <w:sz w:val="32"/>
          <w:szCs w:val="32"/>
        </w:rPr>
        <w:t>项目单位应根据项目的实际情况，制定相应的管理办法及考核制度，加强项目在实施过程中的监控，及时纠正项目在实施过程出现的问题，确保项目绩效目标顺利实现。</w:t>
      </w:r>
    </w:p>
    <w:p w14:paraId="04E3ED2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lang w:eastAsia="zh-CN"/>
        </w:rPr>
      </w:pPr>
      <w:bookmarkStart w:id="80" w:name="_Toc31121"/>
      <w:r>
        <w:rPr>
          <w:rFonts w:hint="eastAsia" w:ascii="楷体_GB2312" w:hAnsi="楷体_GB2312" w:eastAsia="楷体_GB2312" w:cs="楷体_GB2312"/>
          <w:b/>
          <w:bCs/>
          <w:kern w:val="0"/>
          <w:sz w:val="32"/>
          <w:szCs w:val="32"/>
          <w:lang w:eastAsia="zh-CN"/>
        </w:rPr>
        <w:t>（三）及时进行绩效自评</w:t>
      </w:r>
      <w:bookmarkEnd w:id="80"/>
    </w:p>
    <w:p w14:paraId="6DC652B0">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项目单位</w:t>
      </w:r>
      <w:r>
        <w:rPr>
          <w:rFonts w:hint="eastAsia" w:ascii="仿宋" w:hAnsi="仿宋" w:eastAsia="仿宋" w:cs="仿宋"/>
          <w:kern w:val="0"/>
          <w:sz w:val="32"/>
          <w:szCs w:val="32"/>
          <w:lang w:val="en-US" w:eastAsia="zh-CN"/>
        </w:rPr>
        <w:t>应</w:t>
      </w:r>
      <w:r>
        <w:rPr>
          <w:rFonts w:hint="eastAsia" w:ascii="仿宋" w:hAnsi="仿宋" w:eastAsia="仿宋" w:cs="仿宋"/>
          <w:kern w:val="0"/>
          <w:sz w:val="32"/>
          <w:szCs w:val="32"/>
        </w:rPr>
        <w:t>及时进行绩效自评，并编制自评报告及自评表。</w:t>
      </w:r>
    </w:p>
    <w:p w14:paraId="615FBCD9">
      <w:pPr>
        <w:spacing w:line="600" w:lineRule="exact"/>
        <w:ind w:firstLine="640" w:firstLineChars="200"/>
        <w:rPr>
          <w:rFonts w:hint="eastAsia" w:ascii="仿宋" w:hAnsi="仿宋" w:eastAsia="仿宋" w:cs="仿宋"/>
          <w:kern w:val="0"/>
          <w:sz w:val="32"/>
          <w:szCs w:val="32"/>
        </w:rPr>
      </w:pPr>
    </w:p>
    <w:p w14:paraId="03E6CC12">
      <w:pPr>
        <w:spacing w:line="600" w:lineRule="exact"/>
        <w:ind w:left="1598" w:leftChars="304" w:hanging="960" w:hangingChars="300"/>
        <w:outlineLvl w:val="0"/>
        <w:rPr>
          <w:rFonts w:hint="eastAsia" w:ascii="仿宋" w:hAnsi="仿宋" w:eastAsia="仿宋" w:cs="仿宋"/>
          <w:kern w:val="0"/>
          <w:sz w:val="32"/>
          <w:szCs w:val="32"/>
        </w:rPr>
      </w:pPr>
    </w:p>
    <w:p w14:paraId="05DD8F3B">
      <w:pPr>
        <w:spacing w:line="600" w:lineRule="exact"/>
        <w:ind w:left="1598" w:leftChars="304" w:hanging="960" w:hangingChars="300"/>
        <w:outlineLvl w:val="0"/>
        <w:rPr>
          <w:rFonts w:hint="eastAsia" w:ascii="仿宋" w:hAnsi="仿宋" w:eastAsia="仿宋" w:cs="仿宋"/>
          <w:kern w:val="0"/>
          <w:sz w:val="32"/>
          <w:szCs w:val="32"/>
        </w:rPr>
      </w:pPr>
      <w:bookmarkStart w:id="81" w:name="_Toc21700"/>
      <w:r>
        <w:rPr>
          <w:rFonts w:hint="eastAsia" w:ascii="仿宋" w:hAnsi="仿宋" w:eastAsia="仿宋" w:cs="仿宋"/>
          <w:kern w:val="0"/>
          <w:sz w:val="32"/>
          <w:szCs w:val="32"/>
        </w:rPr>
        <w:t>附</w:t>
      </w:r>
      <w:r>
        <w:rPr>
          <w:rFonts w:hint="eastAsia" w:ascii="仿宋" w:hAnsi="仿宋" w:eastAsia="仿宋" w:cs="仿宋"/>
          <w:kern w:val="0"/>
          <w:sz w:val="32"/>
          <w:szCs w:val="32"/>
          <w:lang w:val="en-US" w:eastAsia="zh-CN"/>
        </w:rPr>
        <w:t>件</w:t>
      </w:r>
      <w:r>
        <w:rPr>
          <w:rFonts w:hint="eastAsia" w:ascii="仿宋" w:hAnsi="仿宋" w:eastAsia="仿宋" w:cs="仿宋"/>
          <w:kern w:val="0"/>
          <w:sz w:val="32"/>
          <w:szCs w:val="32"/>
        </w:rPr>
        <w:t>1.项目绩效评价指标体系打分表</w:t>
      </w:r>
      <w:bookmarkEnd w:id="81"/>
    </w:p>
    <w:bookmarkEnd w:id="61"/>
    <w:bookmarkEnd w:id="62"/>
    <w:bookmarkEnd w:id="63"/>
    <w:bookmarkEnd w:id="64"/>
    <w:bookmarkEnd w:id="65"/>
    <w:bookmarkEnd w:id="66"/>
    <w:bookmarkEnd w:id="67"/>
    <w:bookmarkEnd w:id="68"/>
    <w:p w14:paraId="58BFE4AC">
      <w:pPr>
        <w:spacing w:line="360" w:lineRule="auto"/>
        <w:rPr>
          <w:rFonts w:ascii="仿宋" w:hAnsi="仿宋" w:eastAsia="仿宋" w:cs="仿宋"/>
          <w:bCs/>
          <w:kern w:val="0"/>
          <w:sz w:val="32"/>
          <w:szCs w:val="32"/>
        </w:rPr>
      </w:pPr>
    </w:p>
    <w:p w14:paraId="4DF2B1F6">
      <w:pPr>
        <w:spacing w:line="600" w:lineRule="exact"/>
        <w:ind w:left="197" w:firstLine="361" w:firstLineChars="113"/>
        <w:jc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扶风县财政局</w:t>
      </w:r>
    </w:p>
    <w:p w14:paraId="75EB8C8B">
      <w:pPr>
        <w:spacing w:line="600" w:lineRule="exact"/>
        <w:ind w:left="197" w:firstLine="361" w:firstLineChars="113"/>
        <w:jc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6</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17</w:t>
      </w:r>
      <w:r>
        <w:rPr>
          <w:rFonts w:hint="eastAsia" w:ascii="仿宋" w:hAnsi="仿宋" w:eastAsia="仿宋" w:cs="仿宋"/>
          <w:kern w:val="0"/>
          <w:sz w:val="32"/>
          <w:szCs w:val="32"/>
          <w:lang w:val="en-US" w:eastAsia="zh-CN"/>
        </w:rPr>
        <w:t>日</w:t>
      </w:r>
    </w:p>
    <w:p w14:paraId="379B490D">
      <w:pPr>
        <w:spacing w:line="600" w:lineRule="exact"/>
        <w:jc w:val="both"/>
        <w:rPr>
          <w:rFonts w:hint="eastAsia" w:ascii="仿宋" w:hAnsi="仿宋" w:eastAsia="仿宋" w:cs="仿宋"/>
          <w:kern w:val="0"/>
          <w:sz w:val="32"/>
          <w:szCs w:val="32"/>
          <w:lang w:val="en-US" w:eastAsia="zh-CN"/>
        </w:rPr>
        <w:sectPr>
          <w:footerReference r:id="rId6" w:type="default"/>
          <w:pgSz w:w="11850" w:h="16783"/>
          <w:pgMar w:top="1440" w:right="1800" w:bottom="1440" w:left="1800" w:header="567" w:footer="992" w:gutter="0"/>
          <w:pgNumType w:fmt="decimal" w:start="1"/>
          <w:cols w:space="720" w:num="1"/>
          <w:docGrid w:type="lines" w:linePitch="312" w:charSpace="0"/>
        </w:sectPr>
      </w:pPr>
    </w:p>
    <w:p w14:paraId="50EB5B60">
      <w:pPr>
        <w:spacing w:line="600" w:lineRule="exact"/>
        <w:jc w:val="both"/>
        <w:rPr>
          <w:rFonts w:hint="eastAsia" w:ascii="仿宋" w:hAnsi="仿宋" w:eastAsia="仿宋" w:cs="仿宋"/>
          <w:kern w:val="0"/>
          <w:sz w:val="32"/>
          <w:szCs w:val="32"/>
        </w:rPr>
      </w:pPr>
      <w:r>
        <w:rPr>
          <w:rFonts w:hint="eastAsia" w:ascii="仿宋" w:hAnsi="仿宋" w:eastAsia="仿宋" w:cs="仿宋"/>
          <w:kern w:val="0"/>
          <w:sz w:val="32"/>
          <w:szCs w:val="32"/>
        </w:rPr>
        <w:t>附</w:t>
      </w:r>
      <w:r>
        <w:rPr>
          <w:rFonts w:hint="eastAsia" w:ascii="仿宋" w:hAnsi="仿宋" w:eastAsia="仿宋" w:cs="仿宋"/>
          <w:kern w:val="0"/>
          <w:sz w:val="32"/>
          <w:szCs w:val="32"/>
          <w:lang w:val="en-US" w:eastAsia="zh-CN"/>
        </w:rPr>
        <w:t>件</w:t>
      </w:r>
      <w:r>
        <w:rPr>
          <w:rFonts w:hint="eastAsia" w:ascii="仿宋" w:hAnsi="仿宋" w:eastAsia="仿宋" w:cs="仿宋"/>
          <w:kern w:val="0"/>
          <w:sz w:val="32"/>
          <w:szCs w:val="32"/>
        </w:rPr>
        <w:t>1</w:t>
      </w:r>
    </w:p>
    <w:p w14:paraId="07677A5A">
      <w:pPr>
        <w:jc w:val="center"/>
        <w:outlineLvl w:val="9"/>
        <w:rPr>
          <w:rFonts w:hint="default" w:ascii="仿宋" w:hAnsi="仿宋" w:eastAsia="仿宋" w:cs="仿宋"/>
          <w:b/>
          <w:bCs/>
          <w:kern w:val="0"/>
          <w:sz w:val="40"/>
          <w:szCs w:val="40"/>
          <w:lang w:val="en-US" w:eastAsia="zh-CN"/>
        </w:rPr>
      </w:pPr>
      <w:r>
        <w:rPr>
          <w:rFonts w:hint="default" w:ascii="仿宋" w:hAnsi="仿宋" w:eastAsia="仿宋" w:cs="仿宋"/>
          <w:b/>
          <w:bCs/>
          <w:kern w:val="0"/>
          <w:sz w:val="40"/>
          <w:szCs w:val="40"/>
          <w:lang w:val="en-US" w:eastAsia="zh-CN"/>
        </w:rPr>
        <w:t>国土空间总体规划编制工作经费绩效评价指标体系打分表</w:t>
      </w:r>
    </w:p>
    <w:tbl>
      <w:tblPr>
        <w:tblStyle w:val="14"/>
        <w:tblW w:w="1389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853"/>
        <w:gridCol w:w="692"/>
        <w:gridCol w:w="848"/>
        <w:gridCol w:w="1320"/>
        <w:gridCol w:w="660"/>
        <w:gridCol w:w="877"/>
        <w:gridCol w:w="4785"/>
        <w:gridCol w:w="1200"/>
        <w:gridCol w:w="870"/>
        <w:gridCol w:w="1107"/>
      </w:tblGrid>
      <w:tr w14:paraId="2889B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blHeader/>
        </w:trPr>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2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F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EE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1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赋分值</w:t>
            </w:r>
          </w:p>
        </w:tc>
        <w:tc>
          <w:tcPr>
            <w:tcW w:w="47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9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1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完成情况</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4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A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一级指标得分</w:t>
            </w:r>
          </w:p>
        </w:tc>
      </w:tr>
      <w:tr w14:paraId="64412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blHeader/>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EC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6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4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D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0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8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FD71">
            <w:pPr>
              <w:jc w:val="center"/>
              <w:rPr>
                <w:rFonts w:hint="eastAsia" w:ascii="宋体" w:hAnsi="宋体" w:eastAsia="宋体" w:cs="宋体"/>
                <w:i w:val="0"/>
                <w:iCs w:val="0"/>
                <w:color w:val="000000"/>
                <w:sz w:val="22"/>
                <w:szCs w:val="22"/>
                <w:u w:val="none"/>
              </w:rPr>
            </w:pPr>
          </w:p>
        </w:tc>
        <w:tc>
          <w:tcPr>
            <w:tcW w:w="4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D009">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A3E3">
            <w:pPr>
              <w:jc w:val="center"/>
              <w:rPr>
                <w:rFonts w:hint="eastAsia" w:ascii="宋体" w:hAnsi="宋体" w:eastAsia="宋体" w:cs="宋体"/>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90CD">
            <w:pPr>
              <w:jc w:val="center"/>
              <w:rPr>
                <w:rFonts w:hint="eastAsia" w:ascii="宋体" w:hAnsi="宋体" w:eastAsia="宋体" w:cs="宋体"/>
                <w:i w:val="0"/>
                <w:iCs w:val="0"/>
                <w:color w:val="000000"/>
                <w:sz w:val="22"/>
                <w:szCs w:val="22"/>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89F7">
            <w:pPr>
              <w:jc w:val="center"/>
              <w:rPr>
                <w:rFonts w:hint="eastAsia" w:ascii="宋体" w:hAnsi="宋体" w:eastAsia="宋体" w:cs="宋体"/>
                <w:i w:val="0"/>
                <w:iCs w:val="0"/>
                <w:color w:val="000000"/>
                <w:sz w:val="22"/>
                <w:szCs w:val="22"/>
                <w:u w:val="none"/>
              </w:rPr>
            </w:pPr>
          </w:p>
        </w:tc>
      </w:tr>
      <w:tr w14:paraId="53EB6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3C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决策指标</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A94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28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7DE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DC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立项依据充分性</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BDA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5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B4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项目立项是否符合国家法律法规、国民经济发展规划和相关政策；每发现一项不完备的，扣25%分值，扣完为止。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9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5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16A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r>
      <w:tr w14:paraId="1F77E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45BD4">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2DAF0">
            <w:pPr>
              <w:jc w:val="center"/>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BD9A6">
            <w:pPr>
              <w:jc w:val="center"/>
              <w:rPr>
                <w:rFonts w:hint="eastAsia" w:ascii="宋体" w:hAnsi="宋体" w:eastAsia="宋体" w:cs="宋体"/>
                <w:i w:val="0"/>
                <w:iCs w:val="0"/>
                <w:color w:val="000000"/>
                <w:sz w:val="22"/>
                <w:szCs w:val="22"/>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54214">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9880B">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47EDC">
            <w:pPr>
              <w:jc w:val="center"/>
              <w:rPr>
                <w:rFonts w:hint="eastAsia" w:ascii="宋体" w:hAnsi="宋体" w:eastAsia="宋体" w:cs="宋体"/>
                <w:i w:val="0"/>
                <w:iCs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2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3E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项目立项是否与部门职责范围相符，属于部门履职所需；每发现一项不完备的，扣25%分值，扣完为止。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A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2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65AC0">
            <w:pPr>
              <w:jc w:val="center"/>
              <w:rPr>
                <w:rFonts w:hint="eastAsia" w:ascii="宋体" w:hAnsi="宋体" w:eastAsia="宋体" w:cs="宋体"/>
                <w:i w:val="0"/>
                <w:iCs w:val="0"/>
                <w:color w:val="000000"/>
                <w:sz w:val="22"/>
                <w:szCs w:val="22"/>
                <w:u w:val="none"/>
              </w:rPr>
            </w:pPr>
          </w:p>
        </w:tc>
      </w:tr>
      <w:tr w14:paraId="2F47B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0A7C1">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6F22C">
            <w:pPr>
              <w:jc w:val="center"/>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B1A28">
            <w:pPr>
              <w:jc w:val="center"/>
              <w:rPr>
                <w:rFonts w:hint="eastAsia" w:ascii="宋体" w:hAnsi="宋体" w:eastAsia="宋体" w:cs="宋体"/>
                <w:i w:val="0"/>
                <w:iCs w:val="0"/>
                <w:color w:val="000000"/>
                <w:sz w:val="22"/>
                <w:szCs w:val="22"/>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C4792">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BE32B">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644FE">
            <w:pPr>
              <w:jc w:val="center"/>
              <w:rPr>
                <w:rFonts w:hint="eastAsia" w:ascii="宋体" w:hAnsi="宋体" w:eastAsia="宋体" w:cs="宋体"/>
                <w:i w:val="0"/>
                <w:iCs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7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9C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项目立项是否符合行业发展规划和政策要求；每发现一项不完备的，扣25%分值，扣完为止。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B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E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EB6B9">
            <w:pPr>
              <w:jc w:val="center"/>
              <w:rPr>
                <w:rFonts w:hint="eastAsia" w:ascii="宋体" w:hAnsi="宋体" w:eastAsia="宋体" w:cs="宋体"/>
                <w:i w:val="0"/>
                <w:iCs w:val="0"/>
                <w:color w:val="000000"/>
                <w:sz w:val="22"/>
                <w:szCs w:val="22"/>
                <w:u w:val="none"/>
              </w:rPr>
            </w:pPr>
          </w:p>
        </w:tc>
      </w:tr>
      <w:tr w14:paraId="388EB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A52ED">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9D581">
            <w:pPr>
              <w:jc w:val="center"/>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F1563">
            <w:pPr>
              <w:jc w:val="center"/>
              <w:rPr>
                <w:rFonts w:hint="eastAsia" w:ascii="宋体" w:hAnsi="宋体" w:eastAsia="宋体" w:cs="宋体"/>
                <w:i w:val="0"/>
                <w:iCs w:val="0"/>
                <w:color w:val="000000"/>
                <w:sz w:val="22"/>
                <w:szCs w:val="22"/>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D61A5">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DA4A5">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6F17B">
            <w:pPr>
              <w:jc w:val="center"/>
              <w:rPr>
                <w:rFonts w:hint="eastAsia" w:ascii="宋体" w:hAnsi="宋体" w:eastAsia="宋体" w:cs="宋体"/>
                <w:i w:val="0"/>
                <w:iCs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1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B6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项目是否属于公共财政支持范围，是否符合中央、地方事权支出责任划分原则；每发现一项不完备的，扣25%分值，扣完为止。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A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5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32B7B">
            <w:pPr>
              <w:jc w:val="center"/>
              <w:rPr>
                <w:rFonts w:hint="eastAsia" w:ascii="宋体" w:hAnsi="宋体" w:eastAsia="宋体" w:cs="宋体"/>
                <w:i w:val="0"/>
                <w:iCs w:val="0"/>
                <w:color w:val="000000"/>
                <w:sz w:val="22"/>
                <w:szCs w:val="22"/>
                <w:u w:val="none"/>
              </w:rPr>
            </w:pPr>
          </w:p>
        </w:tc>
      </w:tr>
      <w:tr w14:paraId="66539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787BA">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1A314">
            <w:pPr>
              <w:jc w:val="center"/>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CD926">
            <w:pPr>
              <w:jc w:val="center"/>
              <w:rPr>
                <w:rFonts w:hint="eastAsia" w:ascii="宋体" w:hAnsi="宋体" w:eastAsia="宋体" w:cs="宋体"/>
                <w:i w:val="0"/>
                <w:iCs w:val="0"/>
                <w:color w:val="000000"/>
                <w:sz w:val="22"/>
                <w:szCs w:val="22"/>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DF33A">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6F78B">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93E95">
            <w:pPr>
              <w:jc w:val="center"/>
              <w:rPr>
                <w:rFonts w:hint="eastAsia" w:ascii="宋体" w:hAnsi="宋体" w:eastAsia="宋体" w:cs="宋体"/>
                <w:i w:val="0"/>
                <w:iCs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B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88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项目是否未与相关部门同类项目或部门内部相关项目重复。每发现一项不完备的，扣25%分值，扣完为止。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A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C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525DD">
            <w:pPr>
              <w:jc w:val="center"/>
              <w:rPr>
                <w:rFonts w:hint="eastAsia" w:ascii="宋体" w:hAnsi="宋体" w:eastAsia="宋体" w:cs="宋体"/>
                <w:i w:val="0"/>
                <w:iCs w:val="0"/>
                <w:color w:val="000000"/>
                <w:sz w:val="22"/>
                <w:szCs w:val="22"/>
                <w:u w:val="none"/>
              </w:rPr>
            </w:pPr>
          </w:p>
        </w:tc>
      </w:tr>
      <w:tr w14:paraId="67178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583A1">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1E376">
            <w:pPr>
              <w:jc w:val="center"/>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86222">
            <w:pPr>
              <w:jc w:val="center"/>
              <w:rPr>
                <w:rFonts w:hint="eastAsia" w:ascii="宋体" w:hAnsi="宋体" w:eastAsia="宋体" w:cs="宋体"/>
                <w:i w:val="0"/>
                <w:iCs w:val="0"/>
                <w:color w:val="000000"/>
                <w:sz w:val="22"/>
                <w:szCs w:val="22"/>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B4187">
            <w:pPr>
              <w:jc w:val="center"/>
              <w:rPr>
                <w:rFonts w:hint="eastAsia" w:ascii="宋体" w:hAnsi="宋体" w:eastAsia="宋体" w:cs="宋体"/>
                <w:i w:val="0"/>
                <w:iCs w:val="0"/>
                <w:color w:val="000000"/>
                <w:sz w:val="22"/>
                <w:szCs w:val="22"/>
                <w:u w:val="none"/>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083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立项程序规范性</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0C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8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35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项目是否按照规定的程序申请设立；每发现一项不完备的，扣25%分值，扣完为止。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F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0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B7E46">
            <w:pPr>
              <w:jc w:val="center"/>
              <w:rPr>
                <w:rFonts w:hint="eastAsia" w:ascii="宋体" w:hAnsi="宋体" w:eastAsia="宋体" w:cs="宋体"/>
                <w:i w:val="0"/>
                <w:iCs w:val="0"/>
                <w:color w:val="000000"/>
                <w:sz w:val="22"/>
                <w:szCs w:val="22"/>
                <w:u w:val="none"/>
              </w:rPr>
            </w:pPr>
          </w:p>
        </w:tc>
      </w:tr>
      <w:tr w14:paraId="46ABD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E51C6">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E38EC">
            <w:pPr>
              <w:jc w:val="center"/>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38FCA">
            <w:pPr>
              <w:jc w:val="center"/>
              <w:rPr>
                <w:rFonts w:hint="eastAsia" w:ascii="宋体" w:hAnsi="宋体" w:eastAsia="宋体" w:cs="宋体"/>
                <w:i w:val="0"/>
                <w:iCs w:val="0"/>
                <w:color w:val="000000"/>
                <w:sz w:val="22"/>
                <w:szCs w:val="22"/>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AC6EE">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CC5C8">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5218F">
            <w:pPr>
              <w:jc w:val="center"/>
              <w:rPr>
                <w:rFonts w:hint="eastAsia" w:ascii="宋体" w:hAnsi="宋体" w:eastAsia="宋体" w:cs="宋体"/>
                <w:i w:val="0"/>
                <w:iCs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4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94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审批文件、材料是否符合相关要求；每发现一项不完备的，扣25%分值，扣完为止。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1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4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70ADB">
            <w:pPr>
              <w:jc w:val="center"/>
              <w:rPr>
                <w:rFonts w:hint="eastAsia" w:ascii="宋体" w:hAnsi="宋体" w:eastAsia="宋体" w:cs="宋体"/>
                <w:i w:val="0"/>
                <w:iCs w:val="0"/>
                <w:color w:val="000000"/>
                <w:sz w:val="22"/>
                <w:szCs w:val="22"/>
                <w:u w:val="none"/>
              </w:rPr>
            </w:pPr>
          </w:p>
        </w:tc>
      </w:tr>
      <w:tr w14:paraId="4A6E3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185B1">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E0D4F">
            <w:pPr>
              <w:jc w:val="center"/>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D628A">
            <w:pPr>
              <w:jc w:val="center"/>
              <w:rPr>
                <w:rFonts w:hint="eastAsia" w:ascii="宋体" w:hAnsi="宋体" w:eastAsia="宋体" w:cs="宋体"/>
                <w:i w:val="0"/>
                <w:iCs w:val="0"/>
                <w:color w:val="000000"/>
                <w:sz w:val="22"/>
                <w:szCs w:val="22"/>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2E6D6">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4BE3D">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98F73">
            <w:pPr>
              <w:jc w:val="center"/>
              <w:rPr>
                <w:rFonts w:hint="eastAsia" w:ascii="宋体" w:hAnsi="宋体" w:eastAsia="宋体" w:cs="宋体"/>
                <w:i w:val="0"/>
                <w:iCs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1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16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事前是否已经过必要的可行性研究、专家论证、风险评估、绩效评估、集体决策。每发现一项不完备的，扣25%分值，扣完为止。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F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C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BA4B4">
            <w:pPr>
              <w:jc w:val="center"/>
              <w:rPr>
                <w:rFonts w:hint="eastAsia" w:ascii="宋体" w:hAnsi="宋体" w:eastAsia="宋体" w:cs="宋体"/>
                <w:i w:val="0"/>
                <w:iCs w:val="0"/>
                <w:color w:val="000000"/>
                <w:sz w:val="22"/>
                <w:szCs w:val="22"/>
                <w:u w:val="none"/>
              </w:rPr>
            </w:pPr>
          </w:p>
        </w:tc>
      </w:tr>
      <w:tr w14:paraId="4AC5F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08966">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4FE82">
            <w:pPr>
              <w:jc w:val="center"/>
              <w:rPr>
                <w:rFonts w:hint="eastAsia" w:ascii="宋体" w:hAnsi="宋体" w:eastAsia="宋体" w:cs="宋体"/>
                <w:i w:val="0"/>
                <w:iCs w:val="0"/>
                <w:color w:val="000000"/>
                <w:sz w:val="22"/>
                <w:szCs w:val="22"/>
                <w:u w:val="none"/>
              </w:rPr>
            </w:pP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792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FC4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15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绩效目标合理性</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58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7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02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项目是否有绩效目标；每发现一项不完备的，扣25%分值，扣完为止。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A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C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BAEC4">
            <w:pPr>
              <w:jc w:val="center"/>
              <w:rPr>
                <w:rFonts w:hint="eastAsia" w:ascii="宋体" w:hAnsi="宋体" w:eastAsia="宋体" w:cs="宋体"/>
                <w:i w:val="0"/>
                <w:iCs w:val="0"/>
                <w:color w:val="000000"/>
                <w:sz w:val="22"/>
                <w:szCs w:val="22"/>
                <w:u w:val="none"/>
              </w:rPr>
            </w:pPr>
          </w:p>
        </w:tc>
      </w:tr>
      <w:tr w14:paraId="52901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E6DFB">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F85E7">
            <w:pPr>
              <w:jc w:val="center"/>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C7031">
            <w:pPr>
              <w:jc w:val="center"/>
              <w:rPr>
                <w:rFonts w:hint="eastAsia" w:ascii="宋体" w:hAnsi="宋体" w:eastAsia="宋体" w:cs="宋体"/>
                <w:i w:val="0"/>
                <w:iCs w:val="0"/>
                <w:color w:val="000000"/>
                <w:sz w:val="22"/>
                <w:szCs w:val="22"/>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61D38">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61429">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B4AE4">
            <w:pPr>
              <w:jc w:val="center"/>
              <w:rPr>
                <w:rFonts w:hint="eastAsia" w:ascii="宋体" w:hAnsi="宋体" w:eastAsia="宋体" w:cs="宋体"/>
                <w:i w:val="0"/>
                <w:iCs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0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32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项目绩效目标与实际工作内容是否具有相关性；每发现一项不完备的，扣25%分值，扣完为止。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E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3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804B4">
            <w:pPr>
              <w:jc w:val="center"/>
              <w:rPr>
                <w:rFonts w:hint="eastAsia" w:ascii="宋体" w:hAnsi="宋体" w:eastAsia="宋体" w:cs="宋体"/>
                <w:i w:val="0"/>
                <w:iCs w:val="0"/>
                <w:color w:val="000000"/>
                <w:sz w:val="22"/>
                <w:szCs w:val="22"/>
                <w:u w:val="none"/>
              </w:rPr>
            </w:pPr>
          </w:p>
        </w:tc>
      </w:tr>
      <w:tr w14:paraId="6F9D4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E59A5">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5A30F">
            <w:pPr>
              <w:jc w:val="center"/>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22BAB">
            <w:pPr>
              <w:jc w:val="center"/>
              <w:rPr>
                <w:rFonts w:hint="eastAsia" w:ascii="宋体" w:hAnsi="宋体" w:eastAsia="宋体" w:cs="宋体"/>
                <w:i w:val="0"/>
                <w:iCs w:val="0"/>
                <w:color w:val="000000"/>
                <w:sz w:val="22"/>
                <w:szCs w:val="22"/>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8F92D">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1A748">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BB044">
            <w:pPr>
              <w:jc w:val="center"/>
              <w:rPr>
                <w:rFonts w:hint="eastAsia" w:ascii="宋体" w:hAnsi="宋体" w:eastAsia="宋体" w:cs="宋体"/>
                <w:i w:val="0"/>
                <w:iCs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7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E6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项目预期产出效益和效果是否符合正常的业绩水平；每发现一项不完备的，扣25%分值，扣完为止。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C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A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50C72">
            <w:pPr>
              <w:jc w:val="center"/>
              <w:rPr>
                <w:rFonts w:hint="eastAsia" w:ascii="宋体" w:hAnsi="宋体" w:eastAsia="宋体" w:cs="宋体"/>
                <w:i w:val="0"/>
                <w:iCs w:val="0"/>
                <w:color w:val="000000"/>
                <w:sz w:val="22"/>
                <w:szCs w:val="22"/>
                <w:u w:val="none"/>
              </w:rPr>
            </w:pPr>
          </w:p>
        </w:tc>
      </w:tr>
      <w:tr w14:paraId="6C766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55B63">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DCD74">
            <w:pPr>
              <w:jc w:val="center"/>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4C197">
            <w:pPr>
              <w:jc w:val="center"/>
              <w:rPr>
                <w:rFonts w:hint="eastAsia" w:ascii="宋体" w:hAnsi="宋体" w:eastAsia="宋体" w:cs="宋体"/>
                <w:i w:val="0"/>
                <w:iCs w:val="0"/>
                <w:color w:val="000000"/>
                <w:sz w:val="22"/>
                <w:szCs w:val="22"/>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14D36">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98133">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9966A">
            <w:pPr>
              <w:jc w:val="center"/>
              <w:rPr>
                <w:rFonts w:hint="eastAsia" w:ascii="宋体" w:hAnsi="宋体" w:eastAsia="宋体" w:cs="宋体"/>
                <w:i w:val="0"/>
                <w:iCs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B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3F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是否与预算确定的项目投资额或资金量相匹配。每发现一项不完备的，扣25%分值，扣完为止。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8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E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75E83">
            <w:pPr>
              <w:jc w:val="center"/>
              <w:rPr>
                <w:rFonts w:hint="eastAsia" w:ascii="宋体" w:hAnsi="宋体" w:eastAsia="宋体" w:cs="宋体"/>
                <w:i w:val="0"/>
                <w:iCs w:val="0"/>
                <w:color w:val="000000"/>
                <w:sz w:val="22"/>
                <w:szCs w:val="22"/>
                <w:u w:val="none"/>
              </w:rPr>
            </w:pPr>
          </w:p>
        </w:tc>
      </w:tr>
      <w:tr w14:paraId="158E3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39E18">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5C1B0">
            <w:pPr>
              <w:jc w:val="center"/>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EDB80">
            <w:pPr>
              <w:jc w:val="center"/>
              <w:rPr>
                <w:rFonts w:hint="eastAsia" w:ascii="宋体" w:hAnsi="宋体" w:eastAsia="宋体" w:cs="宋体"/>
                <w:i w:val="0"/>
                <w:iCs w:val="0"/>
                <w:color w:val="000000"/>
                <w:sz w:val="22"/>
                <w:szCs w:val="22"/>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1C18B">
            <w:pPr>
              <w:jc w:val="center"/>
              <w:rPr>
                <w:rFonts w:hint="eastAsia" w:ascii="宋体" w:hAnsi="宋体" w:eastAsia="宋体" w:cs="宋体"/>
                <w:i w:val="0"/>
                <w:iCs w:val="0"/>
                <w:color w:val="000000"/>
                <w:sz w:val="22"/>
                <w:szCs w:val="22"/>
                <w:u w:val="none"/>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32B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绩效指标明确性</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D5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8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93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是否将项目绩效目标细化分解为具体的绩效指标；每发现一项不完备的，扣25%分值，扣完为止。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2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4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5C628">
            <w:pPr>
              <w:jc w:val="center"/>
              <w:rPr>
                <w:rFonts w:hint="eastAsia" w:ascii="宋体" w:hAnsi="宋体" w:eastAsia="宋体" w:cs="宋体"/>
                <w:i w:val="0"/>
                <w:iCs w:val="0"/>
                <w:color w:val="000000"/>
                <w:sz w:val="22"/>
                <w:szCs w:val="22"/>
                <w:u w:val="none"/>
              </w:rPr>
            </w:pPr>
          </w:p>
        </w:tc>
      </w:tr>
      <w:tr w14:paraId="0DEC4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832E6">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8819B">
            <w:pPr>
              <w:jc w:val="center"/>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697BF">
            <w:pPr>
              <w:jc w:val="center"/>
              <w:rPr>
                <w:rFonts w:hint="eastAsia" w:ascii="宋体" w:hAnsi="宋体" w:eastAsia="宋体" w:cs="宋体"/>
                <w:i w:val="0"/>
                <w:iCs w:val="0"/>
                <w:color w:val="000000"/>
                <w:sz w:val="22"/>
                <w:szCs w:val="22"/>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08A65">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69BF8">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92743">
            <w:pPr>
              <w:jc w:val="center"/>
              <w:rPr>
                <w:rFonts w:hint="eastAsia" w:ascii="宋体" w:hAnsi="宋体" w:eastAsia="宋体" w:cs="宋体"/>
                <w:i w:val="0"/>
                <w:iCs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4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B4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是否通过清晰、可衡量的指标值予以体现；每发现一项不完备的，扣25%分值，扣完为止。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4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5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B081B">
            <w:pPr>
              <w:jc w:val="center"/>
              <w:rPr>
                <w:rFonts w:hint="eastAsia" w:ascii="宋体" w:hAnsi="宋体" w:eastAsia="宋体" w:cs="宋体"/>
                <w:i w:val="0"/>
                <w:iCs w:val="0"/>
                <w:color w:val="000000"/>
                <w:sz w:val="22"/>
                <w:szCs w:val="22"/>
                <w:u w:val="none"/>
              </w:rPr>
            </w:pPr>
          </w:p>
        </w:tc>
      </w:tr>
      <w:tr w14:paraId="6459C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3FBC5">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000CE">
            <w:pPr>
              <w:jc w:val="center"/>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DDBA1">
            <w:pPr>
              <w:jc w:val="center"/>
              <w:rPr>
                <w:rFonts w:hint="eastAsia" w:ascii="宋体" w:hAnsi="宋体" w:eastAsia="宋体" w:cs="宋体"/>
                <w:i w:val="0"/>
                <w:iCs w:val="0"/>
                <w:color w:val="000000"/>
                <w:sz w:val="22"/>
                <w:szCs w:val="22"/>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9C0E0">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B3541">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821C4">
            <w:pPr>
              <w:jc w:val="center"/>
              <w:rPr>
                <w:rFonts w:hint="eastAsia" w:ascii="宋体" w:hAnsi="宋体" w:eastAsia="宋体" w:cs="宋体"/>
                <w:i w:val="0"/>
                <w:iCs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E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51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是否与项目目标任务数或计划数相对应。每发现一项不完备的，扣25%分值，扣完为止。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7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E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6CBF9">
            <w:pPr>
              <w:jc w:val="center"/>
              <w:rPr>
                <w:rFonts w:hint="eastAsia" w:ascii="宋体" w:hAnsi="宋体" w:eastAsia="宋体" w:cs="宋体"/>
                <w:i w:val="0"/>
                <w:iCs w:val="0"/>
                <w:color w:val="000000"/>
                <w:sz w:val="22"/>
                <w:szCs w:val="22"/>
                <w:u w:val="none"/>
              </w:rPr>
            </w:pPr>
          </w:p>
        </w:tc>
      </w:tr>
      <w:tr w14:paraId="1632E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EF4AC">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9EB33">
            <w:pPr>
              <w:jc w:val="center"/>
              <w:rPr>
                <w:rFonts w:hint="eastAsia" w:ascii="宋体" w:hAnsi="宋体" w:eastAsia="宋体" w:cs="宋体"/>
                <w:i w:val="0"/>
                <w:iCs w:val="0"/>
                <w:color w:val="000000"/>
                <w:sz w:val="22"/>
                <w:szCs w:val="22"/>
                <w:u w:val="none"/>
              </w:rPr>
            </w:pP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781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资金投入</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24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CB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预算编制科学性</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160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4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CB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预算编制是否经过科学论证；每发现一项不完备的，扣25%分值，扣完为止。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A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7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DE773">
            <w:pPr>
              <w:jc w:val="center"/>
              <w:rPr>
                <w:rFonts w:hint="eastAsia" w:ascii="宋体" w:hAnsi="宋体" w:eastAsia="宋体" w:cs="宋体"/>
                <w:i w:val="0"/>
                <w:iCs w:val="0"/>
                <w:color w:val="000000"/>
                <w:sz w:val="22"/>
                <w:szCs w:val="22"/>
                <w:u w:val="none"/>
              </w:rPr>
            </w:pPr>
          </w:p>
        </w:tc>
      </w:tr>
      <w:tr w14:paraId="55CC4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B168F">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5D75F">
            <w:pPr>
              <w:jc w:val="center"/>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AB213">
            <w:pPr>
              <w:jc w:val="center"/>
              <w:rPr>
                <w:rFonts w:hint="eastAsia" w:ascii="宋体" w:hAnsi="宋体" w:eastAsia="宋体" w:cs="宋体"/>
                <w:i w:val="0"/>
                <w:iCs w:val="0"/>
                <w:color w:val="000000"/>
                <w:sz w:val="22"/>
                <w:szCs w:val="22"/>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81CE5">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FD9D2">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E8474">
            <w:pPr>
              <w:jc w:val="center"/>
              <w:rPr>
                <w:rFonts w:hint="eastAsia" w:ascii="宋体" w:hAnsi="宋体" w:eastAsia="宋体" w:cs="宋体"/>
                <w:i w:val="0"/>
                <w:iCs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3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7A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预算内容与项目内容是否匹配；每发现一项不完备的，扣25%分值，扣完为止。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7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C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8AED7">
            <w:pPr>
              <w:jc w:val="center"/>
              <w:rPr>
                <w:rFonts w:hint="eastAsia" w:ascii="宋体" w:hAnsi="宋体" w:eastAsia="宋体" w:cs="宋体"/>
                <w:i w:val="0"/>
                <w:iCs w:val="0"/>
                <w:color w:val="000000"/>
                <w:sz w:val="22"/>
                <w:szCs w:val="22"/>
                <w:u w:val="none"/>
              </w:rPr>
            </w:pPr>
          </w:p>
        </w:tc>
      </w:tr>
      <w:tr w14:paraId="26C08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A7813">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0B3E7">
            <w:pPr>
              <w:jc w:val="center"/>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D87B1">
            <w:pPr>
              <w:jc w:val="center"/>
              <w:rPr>
                <w:rFonts w:hint="eastAsia" w:ascii="宋体" w:hAnsi="宋体" w:eastAsia="宋体" w:cs="宋体"/>
                <w:i w:val="0"/>
                <w:iCs w:val="0"/>
                <w:color w:val="000000"/>
                <w:sz w:val="22"/>
                <w:szCs w:val="22"/>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35829">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ED2A1">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66473">
            <w:pPr>
              <w:jc w:val="center"/>
              <w:rPr>
                <w:rFonts w:hint="eastAsia" w:ascii="宋体" w:hAnsi="宋体" w:eastAsia="宋体" w:cs="宋体"/>
                <w:i w:val="0"/>
                <w:iCs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04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2B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预算额度测算依据是否充分，是否按照标准编制；每发现一项不完备的，扣25%分值，扣完为止。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8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7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FED40">
            <w:pPr>
              <w:jc w:val="center"/>
              <w:rPr>
                <w:rFonts w:hint="eastAsia" w:ascii="宋体" w:hAnsi="宋体" w:eastAsia="宋体" w:cs="宋体"/>
                <w:i w:val="0"/>
                <w:iCs w:val="0"/>
                <w:color w:val="000000"/>
                <w:sz w:val="22"/>
                <w:szCs w:val="22"/>
                <w:u w:val="none"/>
              </w:rPr>
            </w:pPr>
          </w:p>
        </w:tc>
      </w:tr>
      <w:tr w14:paraId="2889E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E54A4">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94775">
            <w:pPr>
              <w:jc w:val="center"/>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FE598">
            <w:pPr>
              <w:jc w:val="center"/>
              <w:rPr>
                <w:rFonts w:hint="eastAsia" w:ascii="宋体" w:hAnsi="宋体" w:eastAsia="宋体" w:cs="宋体"/>
                <w:i w:val="0"/>
                <w:iCs w:val="0"/>
                <w:color w:val="000000"/>
                <w:sz w:val="22"/>
                <w:szCs w:val="22"/>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02159">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15EB5">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37DFD">
            <w:pPr>
              <w:jc w:val="center"/>
              <w:rPr>
                <w:rFonts w:hint="eastAsia" w:ascii="宋体" w:hAnsi="宋体" w:eastAsia="宋体" w:cs="宋体"/>
                <w:i w:val="0"/>
                <w:iCs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0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45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预算确定的项目投资额或资金量是否与工作任务相匹配。每发现一项不完备的，扣25%分值，扣完为止。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1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7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67DD6">
            <w:pPr>
              <w:jc w:val="center"/>
              <w:rPr>
                <w:rFonts w:hint="eastAsia" w:ascii="宋体" w:hAnsi="宋体" w:eastAsia="宋体" w:cs="宋体"/>
                <w:i w:val="0"/>
                <w:iCs w:val="0"/>
                <w:color w:val="000000"/>
                <w:sz w:val="22"/>
                <w:szCs w:val="22"/>
                <w:u w:val="none"/>
              </w:rPr>
            </w:pPr>
          </w:p>
        </w:tc>
      </w:tr>
      <w:tr w14:paraId="5BC25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1C68A">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FBC67">
            <w:pPr>
              <w:jc w:val="center"/>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F4E9D">
            <w:pPr>
              <w:jc w:val="center"/>
              <w:rPr>
                <w:rFonts w:hint="eastAsia" w:ascii="宋体" w:hAnsi="宋体" w:eastAsia="宋体" w:cs="宋体"/>
                <w:i w:val="0"/>
                <w:iCs w:val="0"/>
                <w:color w:val="000000"/>
                <w:sz w:val="22"/>
                <w:szCs w:val="22"/>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5059C">
            <w:pPr>
              <w:jc w:val="center"/>
              <w:rPr>
                <w:rFonts w:hint="eastAsia" w:ascii="宋体" w:hAnsi="宋体" w:eastAsia="宋体" w:cs="宋体"/>
                <w:i w:val="0"/>
                <w:iCs w:val="0"/>
                <w:color w:val="000000"/>
                <w:sz w:val="22"/>
                <w:szCs w:val="22"/>
                <w:u w:val="none"/>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78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资金分配合理性</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1A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F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4F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预算资金分配依据是否充分；每发现一项不完备的，扣25%分值，扣完为止。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2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9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9974B">
            <w:pPr>
              <w:jc w:val="center"/>
              <w:rPr>
                <w:rFonts w:hint="eastAsia" w:ascii="宋体" w:hAnsi="宋体" w:eastAsia="宋体" w:cs="宋体"/>
                <w:i w:val="0"/>
                <w:iCs w:val="0"/>
                <w:color w:val="000000"/>
                <w:sz w:val="22"/>
                <w:szCs w:val="22"/>
                <w:u w:val="none"/>
              </w:rPr>
            </w:pPr>
          </w:p>
        </w:tc>
      </w:tr>
      <w:tr w14:paraId="783AB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4D6E2">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7F0D9">
            <w:pPr>
              <w:jc w:val="center"/>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11876">
            <w:pPr>
              <w:jc w:val="center"/>
              <w:rPr>
                <w:rFonts w:hint="eastAsia" w:ascii="宋体" w:hAnsi="宋体" w:eastAsia="宋体" w:cs="宋体"/>
                <w:i w:val="0"/>
                <w:iCs w:val="0"/>
                <w:color w:val="000000"/>
                <w:sz w:val="22"/>
                <w:szCs w:val="22"/>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E7941">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31A9C">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946EA">
            <w:pPr>
              <w:jc w:val="center"/>
              <w:rPr>
                <w:rFonts w:hint="eastAsia" w:ascii="宋体" w:hAnsi="宋体" w:eastAsia="宋体" w:cs="宋体"/>
                <w:i w:val="0"/>
                <w:iCs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7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4E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资金分配额度是否合理，与项目单位或地方实际是否相适应。每发现一项不完备的，扣25%分值，扣完为止。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7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C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DDDE8">
            <w:pPr>
              <w:jc w:val="center"/>
              <w:rPr>
                <w:rFonts w:hint="eastAsia" w:ascii="宋体" w:hAnsi="宋体" w:eastAsia="宋体" w:cs="宋体"/>
                <w:i w:val="0"/>
                <w:iCs w:val="0"/>
                <w:color w:val="000000"/>
                <w:sz w:val="22"/>
                <w:szCs w:val="22"/>
                <w:u w:val="none"/>
              </w:rPr>
            </w:pPr>
          </w:p>
        </w:tc>
      </w:tr>
      <w:tr w14:paraId="10245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DF7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过程指标</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60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FF2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资金管理</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EC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6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3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B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F9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资金到位率=（实际到位资金/预算资金）×100%（指标值-（60%））/（（100%）-（60%））× 赋分值。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6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9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BE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14:paraId="3202C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94037">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5DFE2">
            <w:pPr>
              <w:jc w:val="center"/>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AEAD4">
            <w:pPr>
              <w:jc w:val="center"/>
              <w:rPr>
                <w:rFonts w:hint="eastAsia" w:ascii="宋体" w:hAnsi="宋体" w:eastAsia="宋体" w:cs="宋体"/>
                <w:i w:val="0"/>
                <w:iCs w:val="0"/>
                <w:color w:val="000000"/>
                <w:sz w:val="22"/>
                <w:szCs w:val="22"/>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9AA2E">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4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3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1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63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实际支出资金/实际到位资金）×100%。100%得100%分,大于等于90%且小于100%的得80%分,大于等于80%且小于90%的得60%分,大于等于70%且小于80%的得40%分,大于等于60%且小于70%的得20%分,大于等于0%且小于60%的得0%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6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F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41F44">
            <w:pPr>
              <w:jc w:val="center"/>
              <w:rPr>
                <w:rFonts w:hint="eastAsia" w:ascii="宋体" w:hAnsi="宋体" w:eastAsia="宋体" w:cs="宋体"/>
                <w:i w:val="0"/>
                <w:iCs w:val="0"/>
                <w:color w:val="000000"/>
                <w:sz w:val="22"/>
                <w:szCs w:val="22"/>
                <w:u w:val="none"/>
              </w:rPr>
            </w:pPr>
          </w:p>
        </w:tc>
      </w:tr>
      <w:tr w14:paraId="36895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F9A33">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59C84">
            <w:pPr>
              <w:jc w:val="center"/>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6CE7E">
            <w:pPr>
              <w:jc w:val="center"/>
              <w:rPr>
                <w:rFonts w:hint="eastAsia" w:ascii="宋体" w:hAnsi="宋体" w:eastAsia="宋体" w:cs="宋体"/>
                <w:i w:val="0"/>
                <w:iCs w:val="0"/>
                <w:color w:val="000000"/>
                <w:sz w:val="22"/>
                <w:szCs w:val="22"/>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746D0">
            <w:pPr>
              <w:jc w:val="center"/>
              <w:rPr>
                <w:rFonts w:hint="eastAsia" w:ascii="宋体" w:hAnsi="宋体" w:eastAsia="宋体" w:cs="宋体"/>
                <w:i w:val="0"/>
                <w:iCs w:val="0"/>
                <w:color w:val="000000"/>
                <w:sz w:val="22"/>
                <w:szCs w:val="22"/>
                <w:u w:val="none"/>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60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资金使用合规性</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E2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A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9C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是否符合国家财经法规和财务管理制度以及有关专项资金管理办法的规定；每发现一项不完备的，扣25%分值，扣完为止。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8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0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72AB7">
            <w:pPr>
              <w:jc w:val="center"/>
              <w:rPr>
                <w:rFonts w:hint="eastAsia" w:ascii="宋体" w:hAnsi="宋体" w:eastAsia="宋体" w:cs="宋体"/>
                <w:i w:val="0"/>
                <w:iCs w:val="0"/>
                <w:color w:val="000000"/>
                <w:sz w:val="22"/>
                <w:szCs w:val="22"/>
                <w:u w:val="none"/>
              </w:rPr>
            </w:pPr>
          </w:p>
        </w:tc>
      </w:tr>
      <w:tr w14:paraId="16F56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BB02E">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43880">
            <w:pPr>
              <w:jc w:val="center"/>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9D438">
            <w:pPr>
              <w:jc w:val="center"/>
              <w:rPr>
                <w:rFonts w:hint="eastAsia" w:ascii="宋体" w:hAnsi="宋体" w:eastAsia="宋体" w:cs="宋体"/>
                <w:i w:val="0"/>
                <w:iCs w:val="0"/>
                <w:color w:val="000000"/>
                <w:sz w:val="22"/>
                <w:szCs w:val="22"/>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528FB">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A888D">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A936F">
            <w:pPr>
              <w:jc w:val="center"/>
              <w:rPr>
                <w:rFonts w:hint="eastAsia" w:ascii="宋体" w:hAnsi="宋体" w:eastAsia="宋体" w:cs="宋体"/>
                <w:i w:val="0"/>
                <w:iCs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2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EB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资金的拨付是否有完整的审批程序和手续。每发现一项不完备的，扣25%分值，扣完为止。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A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A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15DF5">
            <w:pPr>
              <w:jc w:val="center"/>
              <w:rPr>
                <w:rFonts w:hint="eastAsia" w:ascii="宋体" w:hAnsi="宋体" w:eastAsia="宋体" w:cs="宋体"/>
                <w:i w:val="0"/>
                <w:iCs w:val="0"/>
                <w:color w:val="000000"/>
                <w:sz w:val="22"/>
                <w:szCs w:val="22"/>
                <w:u w:val="none"/>
              </w:rPr>
            </w:pPr>
          </w:p>
        </w:tc>
      </w:tr>
      <w:tr w14:paraId="5EA66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E8B74">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B73D6">
            <w:pPr>
              <w:jc w:val="center"/>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94B7F">
            <w:pPr>
              <w:jc w:val="center"/>
              <w:rPr>
                <w:rFonts w:hint="eastAsia" w:ascii="宋体" w:hAnsi="宋体" w:eastAsia="宋体" w:cs="宋体"/>
                <w:i w:val="0"/>
                <w:iCs w:val="0"/>
                <w:color w:val="000000"/>
                <w:sz w:val="22"/>
                <w:szCs w:val="22"/>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25487">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76509">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61492">
            <w:pPr>
              <w:jc w:val="center"/>
              <w:rPr>
                <w:rFonts w:hint="eastAsia" w:ascii="宋体" w:hAnsi="宋体" w:eastAsia="宋体" w:cs="宋体"/>
                <w:i w:val="0"/>
                <w:iCs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D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B4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是否符合项目预算批复或合同规定的用途；每发现一项不完备的，扣25%分值，扣完为止。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6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A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AC4FD">
            <w:pPr>
              <w:jc w:val="center"/>
              <w:rPr>
                <w:rFonts w:hint="eastAsia" w:ascii="宋体" w:hAnsi="宋体" w:eastAsia="宋体" w:cs="宋体"/>
                <w:i w:val="0"/>
                <w:iCs w:val="0"/>
                <w:color w:val="000000"/>
                <w:sz w:val="22"/>
                <w:szCs w:val="22"/>
                <w:u w:val="none"/>
              </w:rPr>
            </w:pPr>
          </w:p>
        </w:tc>
      </w:tr>
      <w:tr w14:paraId="55403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1CA71">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CC1E1">
            <w:pPr>
              <w:jc w:val="center"/>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A090C">
            <w:pPr>
              <w:jc w:val="center"/>
              <w:rPr>
                <w:rFonts w:hint="eastAsia" w:ascii="宋体" w:hAnsi="宋体" w:eastAsia="宋体" w:cs="宋体"/>
                <w:i w:val="0"/>
                <w:iCs w:val="0"/>
                <w:color w:val="000000"/>
                <w:sz w:val="22"/>
                <w:szCs w:val="22"/>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3F3BA">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9E3FD">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AEE79">
            <w:pPr>
              <w:jc w:val="center"/>
              <w:rPr>
                <w:rFonts w:hint="eastAsia" w:ascii="宋体" w:hAnsi="宋体" w:eastAsia="宋体" w:cs="宋体"/>
                <w:i w:val="0"/>
                <w:iCs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2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69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是否未存在截留、挤占、挪用、虚列支出等情况。每发现一项不完备的，扣25%分值，扣完为止。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8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D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450CC">
            <w:pPr>
              <w:jc w:val="center"/>
              <w:rPr>
                <w:rFonts w:hint="eastAsia" w:ascii="宋体" w:hAnsi="宋体" w:eastAsia="宋体" w:cs="宋体"/>
                <w:i w:val="0"/>
                <w:iCs w:val="0"/>
                <w:color w:val="000000"/>
                <w:sz w:val="22"/>
                <w:szCs w:val="22"/>
                <w:u w:val="none"/>
              </w:rPr>
            </w:pPr>
          </w:p>
        </w:tc>
      </w:tr>
      <w:tr w14:paraId="4D0A2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754F1">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0EDE">
            <w:pPr>
              <w:jc w:val="center"/>
              <w:rPr>
                <w:rFonts w:hint="eastAsia" w:ascii="宋体" w:hAnsi="宋体" w:eastAsia="宋体" w:cs="宋体"/>
                <w:i w:val="0"/>
                <w:iCs w:val="0"/>
                <w:color w:val="000000"/>
                <w:sz w:val="22"/>
                <w:szCs w:val="22"/>
                <w:u w:val="none"/>
              </w:rPr>
            </w:pP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DB4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组织实施</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E58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A61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项目采购规范性</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67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3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17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项目采购是否执行了内部决策程序；每发现一项不完备的，扣25%分值，扣完为止。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E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F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9BC3E">
            <w:pPr>
              <w:jc w:val="center"/>
              <w:rPr>
                <w:rFonts w:hint="eastAsia" w:ascii="宋体" w:hAnsi="宋体" w:eastAsia="宋体" w:cs="宋体"/>
                <w:i w:val="0"/>
                <w:iCs w:val="0"/>
                <w:color w:val="000000"/>
                <w:sz w:val="22"/>
                <w:szCs w:val="22"/>
                <w:u w:val="none"/>
              </w:rPr>
            </w:pPr>
          </w:p>
        </w:tc>
      </w:tr>
      <w:tr w14:paraId="383DD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A43DC">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77870">
            <w:pPr>
              <w:jc w:val="center"/>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20D3A">
            <w:pPr>
              <w:jc w:val="center"/>
              <w:rPr>
                <w:rFonts w:hint="eastAsia" w:ascii="宋体" w:hAnsi="宋体" w:eastAsia="宋体" w:cs="宋体"/>
                <w:i w:val="0"/>
                <w:iCs w:val="0"/>
                <w:color w:val="000000"/>
                <w:sz w:val="22"/>
                <w:szCs w:val="22"/>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75115">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CCBAC">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B17C1">
            <w:pPr>
              <w:jc w:val="center"/>
              <w:rPr>
                <w:rFonts w:hint="eastAsia" w:ascii="宋体" w:hAnsi="宋体" w:eastAsia="宋体" w:cs="宋体"/>
                <w:i w:val="0"/>
                <w:iCs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71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D4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项目是否按照相关政策执行政府采购程序或通过“绿色通道”采购，项目采购方式是否符合规定；每发现一项不完备的，扣25%分值，扣完为止。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3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D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A7B19">
            <w:pPr>
              <w:jc w:val="center"/>
              <w:rPr>
                <w:rFonts w:hint="eastAsia" w:ascii="宋体" w:hAnsi="宋体" w:eastAsia="宋体" w:cs="宋体"/>
                <w:i w:val="0"/>
                <w:iCs w:val="0"/>
                <w:color w:val="000000"/>
                <w:sz w:val="22"/>
                <w:szCs w:val="22"/>
                <w:u w:val="none"/>
              </w:rPr>
            </w:pPr>
          </w:p>
        </w:tc>
      </w:tr>
      <w:tr w14:paraId="1825B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261E8">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E151C">
            <w:pPr>
              <w:jc w:val="center"/>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13862">
            <w:pPr>
              <w:jc w:val="center"/>
              <w:rPr>
                <w:rFonts w:hint="eastAsia" w:ascii="宋体" w:hAnsi="宋体" w:eastAsia="宋体" w:cs="宋体"/>
                <w:i w:val="0"/>
                <w:iCs w:val="0"/>
                <w:color w:val="000000"/>
                <w:sz w:val="22"/>
                <w:szCs w:val="22"/>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D0DA0">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631C2">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F5876">
            <w:pPr>
              <w:jc w:val="center"/>
              <w:rPr>
                <w:rFonts w:hint="eastAsia" w:ascii="宋体" w:hAnsi="宋体" w:eastAsia="宋体" w:cs="宋体"/>
                <w:i w:val="0"/>
                <w:iCs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9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3D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项目采购是否履行了必要的验收；每发现一项不完备的，扣25%分值，扣完为止。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F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6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29524">
            <w:pPr>
              <w:jc w:val="center"/>
              <w:rPr>
                <w:rFonts w:hint="eastAsia" w:ascii="宋体" w:hAnsi="宋体" w:eastAsia="宋体" w:cs="宋体"/>
                <w:i w:val="0"/>
                <w:iCs w:val="0"/>
                <w:color w:val="000000"/>
                <w:sz w:val="22"/>
                <w:szCs w:val="22"/>
                <w:u w:val="none"/>
              </w:rPr>
            </w:pPr>
          </w:p>
        </w:tc>
      </w:tr>
      <w:tr w14:paraId="51781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21F2F">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C54FB">
            <w:pPr>
              <w:jc w:val="center"/>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85D5F">
            <w:pPr>
              <w:jc w:val="center"/>
              <w:rPr>
                <w:rFonts w:hint="eastAsia" w:ascii="宋体" w:hAnsi="宋体" w:eastAsia="宋体" w:cs="宋体"/>
                <w:i w:val="0"/>
                <w:iCs w:val="0"/>
                <w:color w:val="000000"/>
                <w:sz w:val="22"/>
                <w:szCs w:val="22"/>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F250B">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57D87">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5D423">
            <w:pPr>
              <w:jc w:val="center"/>
              <w:rPr>
                <w:rFonts w:hint="eastAsia" w:ascii="宋体" w:hAnsi="宋体" w:eastAsia="宋体" w:cs="宋体"/>
                <w:i w:val="0"/>
                <w:iCs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E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61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项目采购结算是否准确、合理；每发现一项不完备的，扣25%分值，扣完为止。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8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5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E6A0A">
            <w:pPr>
              <w:jc w:val="center"/>
              <w:rPr>
                <w:rFonts w:hint="eastAsia" w:ascii="宋体" w:hAnsi="宋体" w:eastAsia="宋体" w:cs="宋体"/>
                <w:i w:val="0"/>
                <w:iCs w:val="0"/>
                <w:color w:val="000000"/>
                <w:sz w:val="22"/>
                <w:szCs w:val="22"/>
                <w:u w:val="none"/>
              </w:rPr>
            </w:pPr>
          </w:p>
        </w:tc>
      </w:tr>
      <w:tr w14:paraId="1ED28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56573">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F19C2">
            <w:pPr>
              <w:jc w:val="center"/>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CE64A">
            <w:pPr>
              <w:jc w:val="center"/>
              <w:rPr>
                <w:rFonts w:hint="eastAsia" w:ascii="宋体" w:hAnsi="宋体" w:eastAsia="宋体" w:cs="宋体"/>
                <w:i w:val="0"/>
                <w:iCs w:val="0"/>
                <w:color w:val="000000"/>
                <w:sz w:val="22"/>
                <w:szCs w:val="22"/>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400E0">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1C9B1">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0A259">
            <w:pPr>
              <w:jc w:val="center"/>
              <w:rPr>
                <w:rFonts w:hint="eastAsia" w:ascii="宋体" w:hAnsi="宋体" w:eastAsia="宋体" w:cs="宋体"/>
                <w:i w:val="0"/>
                <w:iCs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B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FB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采购货物入库、领用登记是否及时、准确。每发现一项不完备的，扣25%分值，扣完为止。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7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F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D841F">
            <w:pPr>
              <w:jc w:val="center"/>
              <w:rPr>
                <w:rFonts w:hint="eastAsia" w:ascii="宋体" w:hAnsi="宋体" w:eastAsia="宋体" w:cs="宋体"/>
                <w:i w:val="0"/>
                <w:iCs w:val="0"/>
                <w:color w:val="000000"/>
                <w:sz w:val="22"/>
                <w:szCs w:val="22"/>
                <w:u w:val="none"/>
              </w:rPr>
            </w:pPr>
          </w:p>
        </w:tc>
      </w:tr>
      <w:tr w14:paraId="4E9E2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ECAF3">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97D56">
            <w:pPr>
              <w:jc w:val="center"/>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BF3EA">
            <w:pPr>
              <w:jc w:val="center"/>
              <w:rPr>
                <w:rFonts w:hint="eastAsia" w:ascii="宋体" w:hAnsi="宋体" w:eastAsia="宋体" w:cs="宋体"/>
                <w:i w:val="0"/>
                <w:iCs w:val="0"/>
                <w:color w:val="000000"/>
                <w:sz w:val="22"/>
                <w:szCs w:val="22"/>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E57D9">
            <w:pPr>
              <w:jc w:val="center"/>
              <w:rPr>
                <w:rFonts w:hint="eastAsia" w:ascii="宋体" w:hAnsi="宋体" w:eastAsia="宋体" w:cs="宋体"/>
                <w:i w:val="0"/>
                <w:iCs w:val="0"/>
                <w:color w:val="000000"/>
                <w:sz w:val="22"/>
                <w:szCs w:val="22"/>
                <w:u w:val="none"/>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FB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管理制度健全性</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9D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C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47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是否已制定或具有相应的财务和业务管理制度；每发现一项不完备的，扣25%分值，扣完为止。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A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A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DD5B2">
            <w:pPr>
              <w:jc w:val="center"/>
              <w:rPr>
                <w:rFonts w:hint="eastAsia" w:ascii="宋体" w:hAnsi="宋体" w:eastAsia="宋体" w:cs="宋体"/>
                <w:i w:val="0"/>
                <w:iCs w:val="0"/>
                <w:color w:val="000000"/>
                <w:sz w:val="22"/>
                <w:szCs w:val="22"/>
                <w:u w:val="none"/>
              </w:rPr>
            </w:pPr>
          </w:p>
        </w:tc>
      </w:tr>
      <w:tr w14:paraId="7326F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422A4">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D89BB">
            <w:pPr>
              <w:jc w:val="center"/>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85A85">
            <w:pPr>
              <w:jc w:val="center"/>
              <w:rPr>
                <w:rFonts w:hint="eastAsia" w:ascii="宋体" w:hAnsi="宋体" w:eastAsia="宋体" w:cs="宋体"/>
                <w:i w:val="0"/>
                <w:iCs w:val="0"/>
                <w:color w:val="000000"/>
                <w:sz w:val="22"/>
                <w:szCs w:val="22"/>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81D17">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93961">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EC98B">
            <w:pPr>
              <w:jc w:val="center"/>
              <w:rPr>
                <w:rFonts w:hint="eastAsia" w:ascii="宋体" w:hAnsi="宋体" w:eastAsia="宋体" w:cs="宋体"/>
                <w:i w:val="0"/>
                <w:iCs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3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F2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财务和业务管理制度是否合法、合规、完整。每发现一项不完备的，扣25%分值，扣完为止。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4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6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D46E2">
            <w:pPr>
              <w:jc w:val="center"/>
              <w:rPr>
                <w:rFonts w:hint="eastAsia" w:ascii="宋体" w:hAnsi="宋体" w:eastAsia="宋体" w:cs="宋体"/>
                <w:i w:val="0"/>
                <w:iCs w:val="0"/>
                <w:color w:val="000000"/>
                <w:sz w:val="22"/>
                <w:szCs w:val="22"/>
                <w:u w:val="none"/>
              </w:rPr>
            </w:pPr>
          </w:p>
        </w:tc>
      </w:tr>
      <w:tr w14:paraId="260F7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3A2DB">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4FF6B">
            <w:pPr>
              <w:jc w:val="center"/>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B0313">
            <w:pPr>
              <w:jc w:val="center"/>
              <w:rPr>
                <w:rFonts w:hint="eastAsia" w:ascii="宋体" w:hAnsi="宋体" w:eastAsia="宋体" w:cs="宋体"/>
                <w:i w:val="0"/>
                <w:iCs w:val="0"/>
                <w:color w:val="000000"/>
                <w:sz w:val="22"/>
                <w:szCs w:val="22"/>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130B8">
            <w:pPr>
              <w:jc w:val="center"/>
              <w:rPr>
                <w:rFonts w:hint="eastAsia" w:ascii="宋体" w:hAnsi="宋体" w:eastAsia="宋体" w:cs="宋体"/>
                <w:i w:val="0"/>
                <w:iCs w:val="0"/>
                <w:color w:val="000000"/>
                <w:sz w:val="22"/>
                <w:szCs w:val="22"/>
                <w:u w:val="none"/>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2F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绩效自评规范性</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41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5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6D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项目实施单位是否进行绩效自评，报告及打分表是否完整。每发现一项不完备的，扣25%分值，扣完为止。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4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6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61AA4">
            <w:pPr>
              <w:jc w:val="center"/>
              <w:rPr>
                <w:rFonts w:hint="eastAsia" w:ascii="宋体" w:hAnsi="宋体" w:eastAsia="宋体" w:cs="宋体"/>
                <w:i w:val="0"/>
                <w:iCs w:val="0"/>
                <w:color w:val="000000"/>
                <w:sz w:val="22"/>
                <w:szCs w:val="22"/>
                <w:u w:val="none"/>
              </w:rPr>
            </w:pPr>
          </w:p>
        </w:tc>
      </w:tr>
      <w:tr w14:paraId="0C8AA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08995">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C02B5">
            <w:pPr>
              <w:jc w:val="center"/>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E1099">
            <w:pPr>
              <w:jc w:val="center"/>
              <w:rPr>
                <w:rFonts w:hint="eastAsia" w:ascii="宋体" w:hAnsi="宋体" w:eastAsia="宋体" w:cs="宋体"/>
                <w:i w:val="0"/>
                <w:iCs w:val="0"/>
                <w:color w:val="000000"/>
                <w:sz w:val="22"/>
                <w:szCs w:val="22"/>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77C93">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33754">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31CB2">
            <w:pPr>
              <w:jc w:val="center"/>
              <w:rPr>
                <w:rFonts w:hint="eastAsia" w:ascii="宋体" w:hAnsi="宋体" w:eastAsia="宋体" w:cs="宋体"/>
                <w:i w:val="0"/>
                <w:iCs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9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A1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自评报告数据是否准确，内容是否翔实。每发现一项不完备的，扣25%分值，扣完为止。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C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5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E71DB">
            <w:pPr>
              <w:jc w:val="center"/>
              <w:rPr>
                <w:rFonts w:hint="eastAsia" w:ascii="宋体" w:hAnsi="宋体" w:eastAsia="宋体" w:cs="宋体"/>
                <w:i w:val="0"/>
                <w:iCs w:val="0"/>
                <w:color w:val="000000"/>
                <w:sz w:val="22"/>
                <w:szCs w:val="22"/>
                <w:u w:val="none"/>
              </w:rPr>
            </w:pPr>
          </w:p>
        </w:tc>
      </w:tr>
      <w:tr w14:paraId="4BB81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D8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C7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C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2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5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国土空间总体规划编制实际完成率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E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2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26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完成国土空间总体规划重要专题研究内容，提交委托方和相关部门研讨及征询意见，实际完成率：按照{已完成工作进度}/{计划工作进度}*100%得出指标值，按照（指标值-（60%））/（（100%）-（60%））× 赋分值得分。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9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0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19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0E1AF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CD9E7">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DDAEB">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0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B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B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国土空间总体规划编制质量合格率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E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0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2A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完成国土空间总体规划重要专题研究内容，提交委托方和相关部门研讨及征询意见，质量达标率：按照{经费项目质量达标项目数}/1*100%得出指标值，按照（指标值-（60%））/（（100%）-（60%））× 赋分值得分。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A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0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19CE9">
            <w:pPr>
              <w:jc w:val="center"/>
              <w:rPr>
                <w:rFonts w:hint="eastAsia" w:ascii="宋体" w:hAnsi="宋体" w:eastAsia="宋体" w:cs="宋体"/>
                <w:i w:val="0"/>
                <w:iCs w:val="0"/>
                <w:color w:val="000000"/>
                <w:sz w:val="22"/>
                <w:szCs w:val="22"/>
                <w:u w:val="none"/>
              </w:rPr>
            </w:pPr>
          </w:p>
        </w:tc>
      </w:tr>
      <w:tr w14:paraId="28D81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FF369">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ACAF3">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E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F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7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国土空间总体规划编制完成及时率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A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4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62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完成国土空间总体规划重要专题研究内容，提交委托方和相关部门研讨及征询意见，完成及时率：按照{已完成工作进度}/{计划工作进度}*100%得出指标值，按照（指标值-（60%））/（（100%）-（60%））× 赋分值得分。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FF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3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E252C">
            <w:pPr>
              <w:jc w:val="center"/>
              <w:rPr>
                <w:rFonts w:hint="eastAsia" w:ascii="宋体" w:hAnsi="宋体" w:eastAsia="宋体" w:cs="宋体"/>
                <w:i w:val="0"/>
                <w:iCs w:val="0"/>
                <w:color w:val="000000"/>
                <w:sz w:val="22"/>
                <w:szCs w:val="22"/>
                <w:u w:val="none"/>
              </w:rPr>
            </w:pPr>
          </w:p>
        </w:tc>
      </w:tr>
      <w:tr w14:paraId="580D1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350A9">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AFA9D">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0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7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4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国土空间总体规划编制成本节约率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D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9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99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国土空间总体规划重要专题研究内容，提交委托方和相关部门研讨及征询意见，：按照({经费项目计划支出}-{经费项目预计支出})/{经费项目计划支出}*100%得出指标值，按照（指标值-（-10%））/（（0%）-（-10%））× 赋分值得分。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A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E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4ED3F">
            <w:pPr>
              <w:jc w:val="center"/>
              <w:rPr>
                <w:rFonts w:hint="eastAsia" w:ascii="宋体" w:hAnsi="宋体" w:eastAsia="宋体" w:cs="宋体"/>
                <w:i w:val="0"/>
                <w:iCs w:val="0"/>
                <w:color w:val="000000"/>
                <w:sz w:val="22"/>
                <w:szCs w:val="22"/>
                <w:u w:val="none"/>
              </w:rPr>
            </w:pPr>
          </w:p>
        </w:tc>
      </w:tr>
      <w:tr w14:paraId="7899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B7C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74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57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54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E0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优化城市的空间布局，加强区域间的合作与交流</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03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B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1C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规划，可以优化城市的空间布局，改善城市的交通、环境、文化等方面的问题，提高城市的整体品质。：按照*&lt;计算公式&gt;*得出指标值，按照*&lt;得分公式&gt;*得分。达成目标得100%分，基本达成目标得75%分，部分实现目标得50%分，实现程度较低得25%分，实现程度低得0%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1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E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B0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14:paraId="697C4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5D59A">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3A188">
            <w:pPr>
              <w:jc w:val="center"/>
              <w:rPr>
                <w:rFonts w:hint="eastAsia" w:ascii="宋体" w:hAnsi="宋体" w:eastAsia="宋体" w:cs="宋体"/>
                <w:i w:val="0"/>
                <w:iCs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EA14E">
            <w:pPr>
              <w:jc w:val="center"/>
              <w:rPr>
                <w:rFonts w:hint="eastAsia" w:ascii="宋体" w:hAnsi="宋体" w:eastAsia="宋体" w:cs="宋体"/>
                <w:i w:val="0"/>
                <w:iCs w:val="0"/>
                <w:color w:val="000000"/>
                <w:sz w:val="22"/>
                <w:szCs w:val="22"/>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8DF2A">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59337">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69218">
            <w:pPr>
              <w:jc w:val="center"/>
              <w:rPr>
                <w:rFonts w:hint="eastAsia" w:ascii="宋体" w:hAnsi="宋体" w:eastAsia="宋体" w:cs="宋体"/>
                <w:i w:val="0"/>
                <w:iCs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D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01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规划引导区域间的合作与交流，可以加强区域间的联系和互动，形成优势互补、共同发展的良好局面。：按照*&lt;计算公式&gt;*得出指标值，按照*&lt;得分公式&gt;*得分。达成目标得100%分，基本达成目标得75%分，部分实现目标得50%分，实现程度较低得25%分，实现程度低得0%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4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E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3EDC5">
            <w:pPr>
              <w:jc w:val="center"/>
              <w:rPr>
                <w:rFonts w:hint="eastAsia" w:ascii="宋体" w:hAnsi="宋体" w:eastAsia="宋体" w:cs="宋体"/>
                <w:i w:val="0"/>
                <w:iCs w:val="0"/>
                <w:color w:val="000000"/>
                <w:sz w:val="22"/>
                <w:szCs w:val="22"/>
                <w:u w:val="none"/>
              </w:rPr>
            </w:pPr>
          </w:p>
        </w:tc>
      </w:tr>
      <w:tr w14:paraId="1B78D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957C8">
            <w:pPr>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CA5CF">
            <w:pPr>
              <w:jc w:val="center"/>
              <w:rPr>
                <w:rFonts w:hint="eastAsia" w:ascii="宋体" w:hAnsi="宋体" w:eastAsia="宋体" w:cs="宋体"/>
                <w:i w:val="0"/>
                <w:iCs w:val="0"/>
                <w:color w:val="000000"/>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F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BC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8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社会公众满意度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E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1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10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社会公众满意度：按照*&lt;计算公式&gt;*得出指标值，按照*&lt;得分公式&gt;*得分。满意得100%分，较满意得80%分，基本满意得60%分，较不满意得30%分，不满意得0%分。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2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3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D689D">
            <w:pPr>
              <w:jc w:val="center"/>
              <w:rPr>
                <w:rFonts w:hint="eastAsia" w:ascii="宋体" w:hAnsi="宋体" w:eastAsia="宋体" w:cs="宋体"/>
                <w:i w:val="0"/>
                <w:iCs w:val="0"/>
                <w:color w:val="000000"/>
                <w:sz w:val="22"/>
                <w:szCs w:val="22"/>
                <w:u w:val="none"/>
              </w:rPr>
            </w:pPr>
          </w:p>
        </w:tc>
      </w:tr>
      <w:tr w14:paraId="3F463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4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A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4C7E">
            <w:pPr>
              <w:rPr>
                <w:rFonts w:hint="eastAsia" w:ascii="宋体" w:hAnsi="宋体" w:eastAsia="宋体" w:cs="宋体"/>
                <w:i w:val="0"/>
                <w:iCs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B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BE7A0">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D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4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7C62">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8AB9">
            <w:pPr>
              <w:rPr>
                <w:rFonts w:hint="eastAsia" w:ascii="宋体" w:hAnsi="宋体" w:eastAsia="宋体" w:cs="宋体"/>
                <w:i w:val="0"/>
                <w:iCs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7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5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r>
    </w:tbl>
    <w:p w14:paraId="515768CA">
      <w:pPr>
        <w:jc w:val="center"/>
        <w:outlineLvl w:val="0"/>
        <w:rPr>
          <w:rFonts w:hint="default" w:ascii="仿宋" w:hAnsi="仿宋" w:eastAsia="仿宋" w:cs="仿宋"/>
          <w:b/>
          <w:bCs/>
          <w:kern w:val="0"/>
          <w:sz w:val="40"/>
          <w:szCs w:val="40"/>
          <w:lang w:val="en-US" w:eastAsia="zh-CN"/>
        </w:rPr>
      </w:pPr>
    </w:p>
    <w:p w14:paraId="66219FA8">
      <w:pPr>
        <w:spacing w:line="600" w:lineRule="exact"/>
        <w:jc w:val="both"/>
        <w:rPr>
          <w:rFonts w:hint="eastAsia" w:ascii="仿宋" w:hAnsi="仿宋" w:eastAsia="仿宋" w:cs="仿宋"/>
          <w:kern w:val="0"/>
          <w:sz w:val="32"/>
          <w:szCs w:val="32"/>
        </w:rPr>
      </w:pPr>
    </w:p>
    <w:p w14:paraId="468268F4">
      <w:pPr>
        <w:spacing w:line="600" w:lineRule="exact"/>
        <w:jc w:val="both"/>
        <w:rPr>
          <w:rFonts w:hint="eastAsia" w:ascii="仿宋" w:hAnsi="仿宋" w:eastAsia="仿宋" w:cs="仿宋"/>
          <w:kern w:val="0"/>
          <w:sz w:val="32"/>
          <w:szCs w:val="32"/>
          <w:lang w:val="en-US" w:eastAsia="zh-CN"/>
        </w:rPr>
      </w:pPr>
    </w:p>
    <w:sectPr>
      <w:pgSz w:w="16783" w:h="11850" w:orient="landscape"/>
      <w:pgMar w:top="1800" w:right="1440" w:bottom="1800" w:left="1440"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4430FE-C2BE-4357-8B3B-E8E4533AE6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D11A7724-D5E6-4574-ACDC-3910713D5BF4}"/>
  </w:font>
  <w:font w:name="仿宋_GB2312">
    <w:altName w:val="仿宋"/>
    <w:panose1 w:val="02010609060101010101"/>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embedRegular r:id="rId3" w:fontKey="{B157A5F6-5D8B-4E62-99BB-CF18F31FCEC6}"/>
  </w:font>
  <w:font w:name="楷体_GB2312">
    <w:panose1 w:val="02010609060101010101"/>
    <w:charset w:val="86"/>
    <w:family w:val="auto"/>
    <w:pitch w:val="default"/>
    <w:sig w:usb0="800002BF" w:usb1="38CF7CFA" w:usb2="00000016" w:usb3="00000000" w:csb0="00040001" w:csb1="00000000"/>
    <w:embedRegular r:id="rId4" w:fontKey="{90CACCDF-113D-4B13-8FE0-86B167FF905D}"/>
  </w:font>
  <w:font w:name="方正小标宋_GBK">
    <w:panose1 w:val="02000000000000000000"/>
    <w:charset w:val="86"/>
    <w:family w:val="auto"/>
    <w:pitch w:val="default"/>
    <w:sig w:usb0="A00002BF" w:usb1="38CF7CFA" w:usb2="00082016" w:usb3="00000000" w:csb0="00040001" w:csb1="00000000"/>
    <w:embedRegular r:id="rId5" w:fontKey="{5D4BAA99-35FE-4C5C-8316-09688A3E1A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0D142">
    <w:pPr>
      <w:pStyle w:val="8"/>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E4623">
    <w:pPr>
      <w:pStyle w:val="8"/>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10458">
    <w:pPr>
      <w:pStyle w:val="8"/>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90FA5">
    <w:pPr>
      <w:pStyle w:val="8"/>
      <w:tabs>
        <w:tab w:val="center" w:pos="4260"/>
        <w:tab w:val="clear" w:pos="4153"/>
      </w:tabs>
      <w:jc w:val="both"/>
      <w:rPr>
        <w:rFonts w:ascii="仿宋" w:hAnsi="仿宋" w:eastAsia="仿宋" w:cs="仿宋"/>
        <w:szCs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1270</wp:posOffset>
              </wp:positionV>
              <wp:extent cx="406400" cy="152400"/>
              <wp:effectExtent l="0" t="0" r="12700" b="0"/>
              <wp:wrapNone/>
              <wp:docPr id="12" name="_x0000_s10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06400" cy="1524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86E3030">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square" lIns="0" tIns="0" rIns="0" bIns="0" anchor="t" upright="0">
                      <a:noAutofit/>
                    </wps:bodyPr>
                  </wps:wsp>
                </a:graphicData>
              </a:graphic>
            </wp:anchor>
          </w:drawing>
        </mc:Choice>
        <mc:Fallback>
          <w:pict>
            <v:rect id="_x0000_s1046" o:spid="_x0000_s1026" o:spt="1" style="position:absolute;left:0pt;margin-top:0.1pt;height:12pt;width:32pt;mso-position-horizontal:center;mso-position-horizontal-relative:margin;z-index:251659264;mso-width-relative:page;mso-height-relative:page;" filled="f" stroked="f" coordsize="21600,21600" o:gfxdata="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Iyo79QAAAADAQAADwAAAAAAAAABACAAAAAiAAAAZHJzL2Rvd25y&#10;ZXYueG1sUEsBAhQAFAAAAAgAh07iQLCsBA8CAgAAIQQAAA4AAAAAAAAAAQAgAAAAIwEAAGRycy9l&#10;Mm9Eb2MueG1sUEsFBgAAAAAGAAYAWQEAAJcFAAAAAA==&#10;">
              <v:fill on="f" focussize="0,0"/>
              <v:stroke on="f"/>
              <v:imagedata o:title=""/>
              <o:lock v:ext="edit" aspectratio="t"/>
              <v:textbox inset="0mm,0mm,0mm,0mm">
                <w:txbxContent>
                  <w:p w14:paraId="686E3030">
                    <w:pPr>
                      <w:pStyle w:val="8"/>
                    </w:pPr>
                    <w:r>
                      <w:fldChar w:fldCharType="begin"/>
                    </w:r>
                    <w:r>
                      <w:instrText xml:space="preserve"> PAGE  \* MERGEFORMAT </w:instrText>
                    </w:r>
                    <w:r>
                      <w:fldChar w:fldCharType="separate"/>
                    </w:r>
                    <w:r>
                      <w:t>10</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YWNlZTBjZTBmNjc3YjVjMGQwZGYxZmI2NGE4ZGIifQ=="/>
  </w:docVars>
  <w:rsids>
    <w:rsidRoot w:val="00000000"/>
    <w:rsid w:val="004E2611"/>
    <w:rsid w:val="058A67FB"/>
    <w:rsid w:val="075524D7"/>
    <w:rsid w:val="07A33243"/>
    <w:rsid w:val="0A6C2012"/>
    <w:rsid w:val="0FC91CB4"/>
    <w:rsid w:val="118C4D48"/>
    <w:rsid w:val="12944D29"/>
    <w:rsid w:val="168B3820"/>
    <w:rsid w:val="194523AC"/>
    <w:rsid w:val="19EE47F1"/>
    <w:rsid w:val="1A8C4BAB"/>
    <w:rsid w:val="1CA07AB3"/>
    <w:rsid w:val="220A4192"/>
    <w:rsid w:val="228C4BA7"/>
    <w:rsid w:val="26661BB3"/>
    <w:rsid w:val="27427F2B"/>
    <w:rsid w:val="2DE57862"/>
    <w:rsid w:val="328C7342"/>
    <w:rsid w:val="35066A3B"/>
    <w:rsid w:val="37FF7772"/>
    <w:rsid w:val="3825542A"/>
    <w:rsid w:val="3BA739C7"/>
    <w:rsid w:val="3C08753D"/>
    <w:rsid w:val="3CB34B88"/>
    <w:rsid w:val="3EB41E07"/>
    <w:rsid w:val="3EE55913"/>
    <w:rsid w:val="4E241889"/>
    <w:rsid w:val="5A1D10C0"/>
    <w:rsid w:val="5C5123E2"/>
    <w:rsid w:val="5D826473"/>
    <w:rsid w:val="5E2D4789"/>
    <w:rsid w:val="5EE412EC"/>
    <w:rsid w:val="60AB4474"/>
    <w:rsid w:val="624E59B9"/>
    <w:rsid w:val="67EC1CCE"/>
    <w:rsid w:val="69562486"/>
    <w:rsid w:val="6A107439"/>
    <w:rsid w:val="6BAE6F0A"/>
    <w:rsid w:val="6D716441"/>
    <w:rsid w:val="6DA32372"/>
    <w:rsid w:val="6E5766FA"/>
    <w:rsid w:val="71C72AD3"/>
    <w:rsid w:val="73CF5C6F"/>
    <w:rsid w:val="767B0330"/>
    <w:rsid w:val="768E1E11"/>
    <w:rsid w:val="78AF606F"/>
    <w:rsid w:val="79DF4732"/>
    <w:rsid w:val="7A805F1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360" w:lineRule="auto"/>
      <w:ind w:firstLine="1120" w:firstLineChars="200"/>
      <w:outlineLvl w:val="0"/>
    </w:pPr>
    <w:rPr>
      <w:rFonts w:eastAsia="仿宋"/>
      <w:b/>
      <w:bCs/>
      <w:kern w:val="44"/>
      <w:sz w:val="30"/>
      <w:szCs w:val="44"/>
    </w:rPr>
  </w:style>
  <w:style w:type="paragraph" w:styleId="3">
    <w:name w:val="heading 4"/>
    <w:basedOn w:val="1"/>
    <w:next w:val="1"/>
    <w:unhideWhenUsed/>
    <w:qFormat/>
    <w:uiPriority w:val="0"/>
    <w:pPr>
      <w:keepNext/>
      <w:keepLines/>
      <w:spacing w:line="360" w:lineRule="auto"/>
      <w:ind w:firstLine="1120" w:firstLineChars="200"/>
      <w:outlineLvl w:val="3"/>
    </w:pPr>
    <w:rPr>
      <w:rFonts w:ascii="Arial" w:hAnsi="Arial" w:eastAsia="仿宋"/>
      <w:sz w:val="28"/>
    </w:rPr>
  </w:style>
  <w:style w:type="paragraph" w:styleId="4">
    <w:name w:val="heading 9"/>
    <w:basedOn w:val="1"/>
    <w:next w:val="1"/>
    <w:semiHidden/>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99"/>
    <w:pPr>
      <w:jc w:val="left"/>
    </w:pPr>
  </w:style>
  <w:style w:type="paragraph" w:styleId="6">
    <w:name w:val="Body Text"/>
    <w:basedOn w:val="1"/>
    <w:qFormat/>
    <w:uiPriority w:val="1"/>
    <w:pPr>
      <w:spacing w:before="102"/>
      <w:ind w:left="112"/>
    </w:pPr>
    <w:rPr>
      <w:sz w:val="28"/>
      <w:szCs w:val="28"/>
    </w:rPr>
  </w:style>
  <w:style w:type="paragraph" w:styleId="7">
    <w:name w:val="Balloon Text"/>
    <w:basedOn w:val="1"/>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Normal (Web)"/>
    <w:basedOn w:val="1"/>
    <w:qFormat/>
    <w:uiPriority w:val="0"/>
    <w:pPr>
      <w:spacing w:beforeAutospacing="1" w:afterAutospacing="1"/>
      <w:jc w:val="left"/>
    </w:pPr>
    <w:rPr>
      <w:kern w:val="0"/>
      <w:sz w:val="24"/>
    </w:rPr>
  </w:style>
  <w:style w:type="paragraph" w:styleId="13">
    <w:name w:val="annotation subject"/>
    <w:basedOn w:val="5"/>
    <w:qFormat/>
    <w:uiPriority w:val="0"/>
    <w:rPr>
      <w:b/>
      <w:bC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qFormat/>
    <w:uiPriority w:val="0"/>
  </w:style>
  <w:style w:type="character" w:styleId="19">
    <w:name w:val="Hyperlink"/>
    <w:basedOn w:val="16"/>
    <w:unhideWhenUsed/>
    <w:qFormat/>
    <w:uiPriority w:val="99"/>
    <w:rPr>
      <w:color w:val="0563C1" w:themeColor="hyperlink"/>
      <w:u w:val="single"/>
      <w14:textFill>
        <w14:solidFill>
          <w14:schemeClr w14:val="hlink"/>
        </w14:solidFill>
      </w14:textFill>
    </w:rPr>
  </w:style>
  <w:style w:type="character" w:styleId="20">
    <w:name w:val="annotation reference"/>
    <w:basedOn w:val="16"/>
    <w:qFormat/>
    <w:uiPriority w:val="99"/>
    <w:rPr>
      <w:sz w:val="21"/>
      <w:szCs w:val="21"/>
    </w:rPr>
  </w:style>
  <w:style w:type="paragraph" w:customStyle="1" w:styleId="21">
    <w:name w:val="列出段落1"/>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style>
  <w:style w:type="paragraph" w:customStyle="1" w:styleId="22">
    <w:name w:val="Char Char Char Char Char Char Char"/>
    <w:basedOn w:val="1"/>
    <w:qFormat/>
    <w:uiPriority w:val="0"/>
    <w:rPr>
      <w:rFonts w:eastAsia="仿宋_GB2312"/>
      <w:sz w:val="30"/>
      <w:szCs w:val="21"/>
    </w:rPr>
  </w:style>
  <w:style w:type="paragraph" w:customStyle="1" w:styleId="23">
    <w:name w:val="正文缩进1"/>
    <w:basedOn w:val="1"/>
    <w:qFormat/>
    <w:uiPriority w:val="0"/>
    <w:pPr>
      <w:ind w:firstLine="420" w:firstLineChars="200"/>
    </w:pPr>
  </w:style>
  <w:style w:type="paragraph" w:customStyle="1" w:styleId="24">
    <w:name w:val="BodyText"/>
    <w:basedOn w:val="1"/>
    <w:qFormat/>
    <w:uiPriority w:val="0"/>
    <w:pPr>
      <w:jc w:val="center"/>
      <w:textAlignment w:val="baseline"/>
    </w:pPr>
    <w:rPr>
      <w:kern w:val="0"/>
      <w:sz w:val="20"/>
      <w:szCs w:val="24"/>
    </w:rPr>
  </w:style>
  <w:style w:type="paragraph" w:customStyle="1" w:styleId="25">
    <w:name w:val="UserStyle_5"/>
    <w:basedOn w:val="1"/>
    <w:qFormat/>
    <w:uiPriority w:val="0"/>
    <w:pPr>
      <w:keepNext/>
      <w:keepLines/>
      <w:spacing w:line="500" w:lineRule="exact"/>
      <w:ind w:firstLine="200" w:firstLineChars="200"/>
      <w:jc w:val="left"/>
      <w:textAlignment w:val="baseline"/>
    </w:pPr>
    <w:rPr>
      <w:b/>
      <w:bCs/>
      <w:kern w:val="44"/>
      <w:szCs w:val="28"/>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8">
    <w:name w:val="批注文字 字符"/>
    <w:basedOn w:val="16"/>
    <w:qFormat/>
    <w:uiPriority w:val="99"/>
    <w:rPr>
      <w:kern w:val="2"/>
      <w:sz w:val="21"/>
    </w:rPr>
  </w:style>
  <w:style w:type="character" w:customStyle="1" w:styleId="29">
    <w:name w:val="批注主题 字符"/>
    <w:basedOn w:val="28"/>
    <w:qFormat/>
    <w:uiPriority w:val="0"/>
    <w:rPr>
      <w:b/>
      <w:bCs/>
      <w:kern w:val="2"/>
      <w:sz w:val="21"/>
    </w:rPr>
  </w:style>
  <w:style w:type="character" w:customStyle="1" w:styleId="30">
    <w:name w:val="正文文本 字符"/>
    <w:basedOn w:val="16"/>
    <w:qFormat/>
    <w:uiPriority w:val="1"/>
    <w:rPr>
      <w:kern w:val="2"/>
      <w:sz w:val="28"/>
      <w:szCs w:val="28"/>
    </w:rPr>
  </w:style>
  <w:style w:type="character" w:customStyle="1" w:styleId="31">
    <w:name w:val="批注框文本 字符"/>
    <w:basedOn w:val="16"/>
    <w:qFormat/>
    <w:uiPriority w:val="0"/>
    <w:rPr>
      <w:kern w:val="2"/>
      <w:sz w:val="18"/>
      <w:szCs w:val="18"/>
    </w:rPr>
  </w:style>
  <w:style w:type="paragraph" w:customStyle="1" w:styleId="32">
    <w:name w:val="报告模板"/>
    <w:basedOn w:val="2"/>
    <w:next w:val="1"/>
    <w:qFormat/>
    <w:uiPriority w:val="0"/>
    <w:pPr>
      <w:spacing w:before="104" w:line="600" w:lineRule="exact"/>
      <w:ind w:firstLine="672"/>
    </w:pPr>
    <w:rPr>
      <w:rFonts w:hint="eastAsia" w:ascii="黑体" w:hAnsi="黑体" w:eastAsia="黑体" w:cs="黑体"/>
      <w:spacing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p:coreProperties xmlns:cp="http://schemas.openxmlformats.org/package/2006/metadata/core-properties" xmlns:dc="http://purl.org/dc/elements/1.1/" xmlns:dcterms="http://purl.org/dc/terms/" xmlns:xsi="http://www.w3.org/2001/XMLSchema-instance">
  <dcterms:created xsi:type="dcterms:W3CDTF">2021-12-10T01:11:00Z</dcterms:created>
  <dc:creator>归去来</dc:creator>
  <cp:lastModifiedBy>佳浩 吴</cp:lastModifiedBy>
  <dcterms:modified xsi:type="dcterms:W3CDTF">2024-06-13T05:02:00Z</dcterms:modified>
  <cp:revision>323</cp:revision>
</cp:coreProperties>
</file>

<file path=customXml/item4.xml><?xml version="1.0" encoding="utf-8"?>
<Properties xmlns="http://schemas.openxmlformats.org/officeDocument/2006/extended-properties" xmlns:vt="http://schemas.openxmlformats.org/officeDocument/2006/docPropsVTypes">
  <Template>Normal.dotm</Template>
  <TotalTime>556</TotalTime>
  <Pages>12</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16.0000</AppVersion>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51DB3D43EE634D3BB702D3F5F866F8AE</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8D2ECD-F606-45A5-AD68-7D54D6DC8C9F}">
  <ds:schemaRefs/>
</ds:datastoreItem>
</file>

<file path=customXml/itemProps3.xml><?xml version="1.0" encoding="utf-8"?>
<ds:datastoreItem xmlns:ds="http://schemas.openxmlformats.org/officeDocument/2006/customXml" ds:itemID="{02691e5b-2505-4d32-ad6a-7dc29866d4d5}">
  <ds:schemaRefs/>
</ds:datastoreItem>
</file>

<file path=customXml/itemProps4.xml><?xml version="1.0" encoding="utf-8"?>
<ds:datastoreItem xmlns:ds="http://schemas.openxmlformats.org/officeDocument/2006/customXml" ds:itemID="{4bfd1f8a-fac2-4c97-8870-b604f4587e04}">
  <ds:schemaRefs/>
</ds:datastoreItem>
</file>

<file path=customXml/itemProps5.xml><?xml version="1.0" encoding="utf-8"?>
<ds:datastoreItem xmlns:ds="http://schemas.openxmlformats.org/officeDocument/2006/customXml" ds:itemID="{c39ca070-451c-44e0-9875-ca294eee7445}">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9993</Words>
  <Characters>10854</Characters>
  <Lines>38</Lines>
  <Paragraphs>10</Paragraphs>
  <TotalTime>6</TotalTime>
  <ScaleCrop>false</ScaleCrop>
  <LinksUpToDate>false</LinksUpToDate>
  <CharactersWithSpaces>10947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2021-12-10T01:11:00Z</dcterms:created>
  <dc:creator>归去来</dc:creator>
  <cp:lastModifiedBy>Administrator</cp:lastModifiedBy>
  <dcterms:modified xsi:type="dcterms:W3CDTF">2024-11-13T03:22:49Z</dcterms:modified>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761D6132AC9E49F08170D5FDF7F2B3DF_13</vt:lpwstr>
  </property>
</Properties>
</file>