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69F82">
      <w:pPr>
        <w:spacing w:line="248" w:lineRule="auto"/>
        <w:rPr>
          <w:rFonts w:ascii="宋体"/>
          <w:highlight w:val="none"/>
        </w:rPr>
      </w:pPr>
    </w:p>
    <w:p w14:paraId="7BCEACC5">
      <w:pPr>
        <w:spacing w:line="248" w:lineRule="auto"/>
        <w:rPr>
          <w:rFonts w:ascii="宋体"/>
          <w:highlight w:val="none"/>
        </w:rPr>
      </w:pPr>
      <w:bookmarkStart w:id="0" w:name="_Toc28812"/>
    </w:p>
    <w:p w14:paraId="1123970F">
      <w:pPr>
        <w:spacing w:line="248" w:lineRule="auto"/>
        <w:rPr>
          <w:rFonts w:ascii="宋体"/>
          <w:highlight w:val="none"/>
        </w:rPr>
      </w:pPr>
    </w:p>
    <w:p w14:paraId="338D3277">
      <w:pPr>
        <w:jc w:val="center"/>
        <w:outlineLvl w:val="9"/>
        <w:rPr>
          <w:rFonts w:ascii="楷体" w:hAnsi="楷体" w:eastAsia="楷体" w:cs="楷体"/>
          <w:b/>
          <w:bCs/>
          <w:sz w:val="36"/>
          <w:szCs w:val="36"/>
          <w:highlight w:val="none"/>
        </w:rPr>
      </w:pPr>
      <w:bookmarkStart w:id="1" w:name="_Toc16984"/>
      <w:bookmarkStart w:id="2" w:name="_Toc24848"/>
      <w:r>
        <w:rPr>
          <w:rFonts w:ascii="楷体" w:hAnsi="楷体" w:eastAsia="楷体" w:cs="楷体"/>
          <w:b/>
          <w:bCs/>
          <w:sz w:val="36"/>
          <w:szCs w:val="36"/>
          <w:highlight w:val="none"/>
        </w:rPr>
        <w:t>2023年扶风县农村生活垃圾集中处置费</w:t>
      </w:r>
      <w:bookmarkEnd w:id="1"/>
      <w:bookmarkEnd w:id="2"/>
    </w:p>
    <w:p w14:paraId="5FF1B3BB">
      <w:pPr>
        <w:spacing w:line="248" w:lineRule="auto"/>
        <w:rPr>
          <w:rFonts w:ascii="宋体"/>
          <w:highlight w:val="none"/>
        </w:rPr>
      </w:pPr>
    </w:p>
    <w:p w14:paraId="63529AC4">
      <w:pPr>
        <w:spacing w:line="248" w:lineRule="auto"/>
        <w:rPr>
          <w:rFonts w:ascii="宋体"/>
          <w:highlight w:val="none"/>
        </w:rPr>
      </w:pPr>
    </w:p>
    <w:p w14:paraId="4A5070C7">
      <w:pPr>
        <w:spacing w:line="248" w:lineRule="auto"/>
        <w:rPr>
          <w:rFonts w:ascii="宋体"/>
          <w:highlight w:val="none"/>
        </w:rPr>
      </w:pPr>
    </w:p>
    <w:p w14:paraId="15AF4DFC">
      <w:pPr>
        <w:spacing w:line="1200" w:lineRule="exact"/>
        <w:jc w:val="center"/>
        <w:rPr>
          <w:rFonts w:ascii="黑体" w:hAnsi="黑体" w:eastAsia="黑体" w:cs="黑体"/>
          <w:b/>
          <w:bCs/>
          <w:sz w:val="72"/>
          <w:szCs w:val="72"/>
          <w:highlight w:val="none"/>
        </w:rPr>
      </w:pPr>
      <w:r>
        <w:rPr>
          <w:rFonts w:ascii="黑体" w:hAnsi="黑体" w:eastAsia="黑体" w:cs="黑体"/>
          <w:b/>
          <w:bCs/>
          <w:sz w:val="72"/>
          <w:szCs w:val="72"/>
          <w:highlight w:val="none"/>
        </w:rPr>
        <w:t>绩 效 评 价 报 告</w:t>
      </w:r>
    </w:p>
    <w:p w14:paraId="0DEBD3DB">
      <w:pPr>
        <w:spacing w:line="248" w:lineRule="auto"/>
        <w:rPr>
          <w:rFonts w:ascii="宋体"/>
          <w:highlight w:val="none"/>
        </w:rPr>
      </w:pPr>
    </w:p>
    <w:p w14:paraId="3B800756">
      <w:pPr>
        <w:spacing w:line="248" w:lineRule="auto"/>
        <w:rPr>
          <w:rFonts w:ascii="宋体"/>
          <w:highlight w:val="none"/>
        </w:rPr>
      </w:pPr>
    </w:p>
    <w:p w14:paraId="5EED35DF">
      <w:pPr>
        <w:spacing w:line="248" w:lineRule="auto"/>
        <w:rPr>
          <w:rFonts w:ascii="宋体"/>
          <w:highlight w:val="none"/>
        </w:rPr>
      </w:pPr>
    </w:p>
    <w:p w14:paraId="00316870">
      <w:pPr>
        <w:spacing w:line="248" w:lineRule="auto"/>
        <w:jc w:val="left"/>
        <w:rPr>
          <w:rFonts w:ascii="宋体"/>
          <w:highlight w:val="none"/>
        </w:rPr>
      </w:pPr>
    </w:p>
    <w:p w14:paraId="5A1222C3">
      <w:pPr>
        <w:spacing w:line="248" w:lineRule="auto"/>
        <w:jc w:val="left"/>
        <w:rPr>
          <w:rFonts w:ascii="宋体"/>
          <w:highlight w:val="none"/>
        </w:rPr>
      </w:pPr>
    </w:p>
    <w:p w14:paraId="37E65220">
      <w:pPr>
        <w:spacing w:line="248" w:lineRule="auto"/>
        <w:jc w:val="left"/>
        <w:rPr>
          <w:rFonts w:ascii="宋体"/>
          <w:highlight w:val="none"/>
        </w:rPr>
      </w:pPr>
    </w:p>
    <w:p w14:paraId="4F087A36">
      <w:pPr>
        <w:spacing w:line="248" w:lineRule="auto"/>
        <w:jc w:val="left"/>
        <w:rPr>
          <w:rFonts w:ascii="宋体"/>
          <w:highlight w:val="none"/>
        </w:rPr>
      </w:pPr>
    </w:p>
    <w:p w14:paraId="703A84AD">
      <w:pPr>
        <w:spacing w:line="248" w:lineRule="auto"/>
        <w:jc w:val="left"/>
        <w:rPr>
          <w:rFonts w:ascii="宋体"/>
          <w:highlight w:val="none"/>
        </w:rPr>
      </w:pPr>
    </w:p>
    <w:p w14:paraId="0A0FA202">
      <w:pPr>
        <w:spacing w:line="248" w:lineRule="auto"/>
        <w:rPr>
          <w:rFonts w:ascii="宋体"/>
          <w:highlight w:val="none"/>
        </w:rPr>
      </w:pPr>
    </w:p>
    <w:p w14:paraId="4D4A9427">
      <w:pPr>
        <w:spacing w:line="248" w:lineRule="auto"/>
        <w:jc w:val="left"/>
        <w:rPr>
          <w:rFonts w:ascii="宋体"/>
          <w:highlight w:val="none"/>
        </w:rPr>
      </w:pPr>
    </w:p>
    <w:p w14:paraId="3DBB7543">
      <w:pPr>
        <w:spacing w:line="248" w:lineRule="auto"/>
        <w:jc w:val="left"/>
        <w:rPr>
          <w:rFonts w:ascii="宋体"/>
          <w:highlight w:val="none"/>
        </w:rPr>
      </w:pPr>
    </w:p>
    <w:p w14:paraId="050B8B24">
      <w:pPr>
        <w:spacing w:line="248" w:lineRule="auto"/>
        <w:jc w:val="left"/>
        <w:rPr>
          <w:rFonts w:ascii="宋体"/>
          <w:highlight w:val="none"/>
        </w:rPr>
      </w:pPr>
    </w:p>
    <w:p w14:paraId="3AD90C1E">
      <w:pPr>
        <w:spacing w:line="248" w:lineRule="auto"/>
        <w:jc w:val="left"/>
        <w:rPr>
          <w:rFonts w:ascii="宋体"/>
          <w:highlight w:val="none"/>
        </w:rPr>
      </w:pPr>
    </w:p>
    <w:p w14:paraId="598969FA">
      <w:pPr>
        <w:spacing w:line="248" w:lineRule="auto"/>
        <w:jc w:val="left"/>
        <w:rPr>
          <w:rFonts w:ascii="宋体"/>
          <w:highlight w:val="none"/>
        </w:rPr>
      </w:pPr>
    </w:p>
    <w:p w14:paraId="2A855C94">
      <w:pPr>
        <w:spacing w:line="248" w:lineRule="auto"/>
        <w:jc w:val="left"/>
        <w:rPr>
          <w:rFonts w:ascii="宋体"/>
          <w:highlight w:val="none"/>
        </w:rPr>
      </w:pPr>
    </w:p>
    <w:p w14:paraId="3C767635">
      <w:pPr>
        <w:spacing w:line="248" w:lineRule="auto"/>
        <w:rPr>
          <w:rFonts w:ascii="宋体"/>
          <w:highlight w:val="none"/>
        </w:rPr>
      </w:pPr>
    </w:p>
    <w:p w14:paraId="1208370D">
      <w:pPr>
        <w:widowControl/>
        <w:spacing w:line="600" w:lineRule="exact"/>
        <w:ind w:firstLine="960" w:firstLineChars="300"/>
        <w:jc w:val="left"/>
        <w:rPr>
          <w:rFonts w:ascii="仿宋" w:hAnsi="仿宋" w:eastAsia="仿宋" w:cs="仿宋"/>
          <w:sz w:val="32"/>
          <w:szCs w:val="32"/>
          <w:highlight w:val="none"/>
        </w:rPr>
      </w:pPr>
      <w:r>
        <w:rPr>
          <w:rFonts w:ascii="楷体" w:hAnsi="楷体" w:eastAsia="楷体" w:cs="楷体"/>
          <w:color w:val="000000"/>
          <w:kern w:val="0"/>
          <w:sz w:val="32"/>
          <w:szCs w:val="32"/>
          <w:highlight w:val="none"/>
        </w:rPr>
        <w:t>主管部门：扶风县住房和城乡建设局</w:t>
      </w:r>
    </w:p>
    <w:p w14:paraId="1251588A">
      <w:pPr>
        <w:widowControl/>
        <w:spacing w:line="600" w:lineRule="exact"/>
        <w:ind w:left="2558" w:leftChars="456" w:hanging="1600" w:hangingChars="500"/>
        <w:jc w:val="left"/>
        <w:rPr>
          <w:rFonts w:ascii="仿宋" w:hAnsi="仿宋" w:eastAsia="仿宋" w:cs="仿宋"/>
          <w:sz w:val="32"/>
          <w:szCs w:val="32"/>
          <w:highlight w:val="none"/>
        </w:rPr>
      </w:pPr>
      <w:r>
        <w:rPr>
          <w:rFonts w:hint="eastAsia" w:ascii="楷体" w:hAnsi="楷体" w:eastAsia="楷体" w:cs="楷体"/>
          <w:color w:val="000000"/>
          <w:kern w:val="0"/>
          <w:sz w:val="32"/>
          <w:szCs w:val="32"/>
          <w:highlight w:val="none"/>
        </w:rPr>
        <w:t>项目单位：扶风县住房和城乡建设局</w:t>
      </w:r>
    </w:p>
    <w:p w14:paraId="6F816AF0">
      <w:pPr>
        <w:widowControl/>
        <w:spacing w:line="600" w:lineRule="exact"/>
        <w:ind w:firstLine="960" w:firstLineChars="300"/>
        <w:rPr>
          <w:rFonts w:ascii="仿宋" w:hAnsi="仿宋" w:eastAsia="楷体" w:cs="仿宋"/>
          <w:sz w:val="32"/>
          <w:szCs w:val="32"/>
          <w:highlight w:val="none"/>
        </w:rPr>
      </w:pPr>
      <w:r>
        <w:rPr>
          <w:rFonts w:hint="eastAsia" w:ascii="楷体" w:hAnsi="楷体" w:eastAsia="楷体" w:cs="楷体"/>
          <w:color w:val="000000"/>
          <w:kern w:val="0"/>
          <w:sz w:val="32"/>
          <w:szCs w:val="32"/>
          <w:highlight w:val="none"/>
        </w:rPr>
        <w:t>评价机构：扶风县财政局</w:t>
      </w:r>
    </w:p>
    <w:p w14:paraId="4D626908">
      <w:pPr>
        <w:widowControl/>
        <w:spacing w:line="600" w:lineRule="exact"/>
        <w:ind w:firstLine="960" w:firstLineChars="300"/>
        <w:rPr>
          <w:rFonts w:ascii="宋体" w:hAnsi="宋体" w:cs="宋体"/>
          <w:spacing w:val="-1"/>
          <w:sz w:val="36"/>
          <w:szCs w:val="36"/>
          <w:highlight w:val="none"/>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highlight w:val="none"/>
        </w:rPr>
        <w:t>提交日期：2024</w:t>
      </w:r>
      <w:r>
        <w:rPr>
          <w:rFonts w:hint="eastAsia" w:ascii="楷体" w:hAnsi="楷体" w:eastAsia="楷体" w:cs="楷体"/>
          <w:color w:val="000000"/>
          <w:kern w:val="0"/>
          <w:sz w:val="32"/>
          <w:szCs w:val="32"/>
          <w:highlight w:val="none"/>
          <w:lang w:val="en-US" w:eastAsia="zh-CN"/>
        </w:rPr>
        <w:t>年</w:t>
      </w:r>
      <w:r>
        <w:rPr>
          <w:rFonts w:hint="eastAsia" w:ascii="楷体" w:hAnsi="楷体" w:eastAsia="楷体" w:cs="楷体"/>
          <w:color w:val="000000"/>
          <w:kern w:val="0"/>
          <w:sz w:val="32"/>
          <w:szCs w:val="32"/>
          <w:highlight w:val="none"/>
        </w:rPr>
        <w:t>6</w:t>
      </w:r>
      <w:r>
        <w:rPr>
          <w:rFonts w:hint="eastAsia" w:ascii="楷体" w:hAnsi="楷体" w:eastAsia="楷体" w:cs="楷体"/>
          <w:color w:val="000000"/>
          <w:kern w:val="0"/>
          <w:sz w:val="32"/>
          <w:szCs w:val="32"/>
          <w:highlight w:val="none"/>
          <w:lang w:val="en-US" w:eastAsia="zh-CN"/>
        </w:rPr>
        <w:t>月</w:t>
      </w:r>
      <w:r>
        <w:rPr>
          <w:rFonts w:hint="eastAsia" w:ascii="楷体" w:hAnsi="楷体" w:eastAsia="楷体" w:cs="楷体"/>
          <w:color w:val="000000"/>
          <w:kern w:val="0"/>
          <w:sz w:val="32"/>
          <w:szCs w:val="32"/>
          <w:highlight w:val="none"/>
        </w:rPr>
        <w:t>17</w:t>
      </w:r>
      <w:r>
        <w:rPr>
          <w:rFonts w:hint="eastAsia" w:ascii="楷体" w:hAnsi="楷体" w:eastAsia="楷体" w:cs="楷体"/>
          <w:color w:val="000000"/>
          <w:kern w:val="0"/>
          <w:sz w:val="32"/>
          <w:szCs w:val="32"/>
          <w:highlight w:val="none"/>
          <w:lang w:val="en-US" w:eastAsia="zh-CN"/>
        </w:rPr>
        <w:t>日</w:t>
      </w:r>
      <w:bookmarkEnd w:id="0"/>
    </w:p>
    <w:p w14:paraId="3DC9D38D">
      <w:pPr>
        <w:spacing w:before="480" w:after="360"/>
        <w:jc w:val="center"/>
        <w:rPr>
          <w:rFonts w:ascii="宋体" w:hAnsi="宋体"/>
          <w:b/>
          <w:bCs/>
          <w:sz w:val="36"/>
          <w:szCs w:val="36"/>
          <w:highlight w:val="none"/>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highlight w:val="none"/>
        </w:rPr>
        <w:id w:val="147479055"/>
        <w:docPartObj>
          <w:docPartGallery w:val="Table of Contents"/>
          <w:docPartUnique/>
        </w:docPartObj>
      </w:sdtPr>
      <w:sdtEndPr>
        <w:rPr>
          <w:rFonts w:ascii="宋体" w:hAnsi="宋体"/>
          <w:b/>
          <w:bCs/>
          <w:sz w:val="36"/>
          <w:szCs w:val="36"/>
          <w:highlight w:val="none"/>
        </w:rPr>
      </w:sdtEndPr>
      <w:sdtContent>
        <w:p w14:paraId="6B95A6CF">
          <w:pPr>
            <w:jc w:val="center"/>
            <w:rPr>
              <w:rFonts w:ascii="Times New Roman" w:hAnsi="Times New Roman" w:eastAsia="宋体" w:cs="Times New Roman"/>
              <w:b/>
              <w:kern w:val="2"/>
              <w:sz w:val="21"/>
              <w:highlight w:val="none"/>
              <w:lang w:val="en-US" w:eastAsia="zh-CN" w:bidi="ar-SA"/>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r>
            <w:rPr>
              <w:highlight w:val="none"/>
            </w:rPr>
            <w:fldChar w:fldCharType="begin"/>
          </w:r>
          <w:r>
            <w:rPr>
              <w:highlight w:val="none"/>
            </w:rPr>
            <w:instrText xml:space="preserve">TOC \o "1-2" \h \u</w:instrText>
          </w:r>
          <w:r>
            <w:rPr>
              <w:highlight w:val="none"/>
            </w:rPr>
            <w:fldChar w:fldCharType="separate"/>
          </w:r>
        </w:p>
        <w:p w14:paraId="76D91204">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_Toc16394 </w:instrText>
          </w:r>
          <w:r>
            <w:rPr>
              <w:sz w:val="28"/>
              <w:szCs w:val="24"/>
              <w:highlight w:val="none"/>
            </w:rPr>
            <w:fldChar w:fldCharType="separate"/>
          </w:r>
          <w:r>
            <w:rPr>
              <w:rFonts w:ascii="宋体" w:hAnsi="宋体" w:cs="宋体"/>
              <w:bCs/>
              <w:spacing w:val="-3"/>
              <w:sz w:val="28"/>
              <w:szCs w:val="48"/>
              <w:highlight w:val="none"/>
              <w14:textOutline w14:w="6540" w14:cap="sq" w14:cmpd="sng" w14:algn="ctr">
                <w14:solidFill>
                  <w14:srgbClr w14:val="000000"/>
                </w14:solidFill>
                <w14:prstDash w14:val="solid"/>
                <w14:bevel/>
              </w14:textOutline>
            </w:rPr>
            <w:t>摘</w:t>
          </w:r>
          <w:r>
            <w:rPr>
              <w:rFonts w:ascii="宋体" w:hAnsi="宋体" w:cs="宋体"/>
              <w:bCs/>
              <w:spacing w:val="27"/>
              <w:sz w:val="28"/>
              <w:szCs w:val="48"/>
              <w:highlight w:val="none"/>
            </w:rPr>
            <w:t xml:space="preserve"> </w:t>
          </w:r>
          <w:r>
            <w:rPr>
              <w:rFonts w:ascii="宋体" w:hAnsi="宋体" w:cs="宋体"/>
              <w:bCs/>
              <w:spacing w:val="-3"/>
              <w:sz w:val="28"/>
              <w:szCs w:val="48"/>
              <w:highlight w:val="none"/>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_Toc16394 \h </w:instrText>
          </w:r>
          <w:r>
            <w:rPr>
              <w:sz w:val="28"/>
              <w:szCs w:val="24"/>
            </w:rPr>
            <w:fldChar w:fldCharType="separate"/>
          </w:r>
          <w:r>
            <w:rPr>
              <w:sz w:val="28"/>
              <w:szCs w:val="24"/>
            </w:rPr>
            <w:t>1</w:t>
          </w:r>
          <w:r>
            <w:rPr>
              <w:sz w:val="28"/>
              <w:szCs w:val="24"/>
            </w:rPr>
            <w:fldChar w:fldCharType="end"/>
          </w:r>
          <w:r>
            <w:rPr>
              <w:sz w:val="28"/>
              <w:szCs w:val="24"/>
              <w:highlight w:val="none"/>
            </w:rPr>
            <w:fldChar w:fldCharType="end"/>
          </w:r>
        </w:p>
        <w:p w14:paraId="2A78F81B">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_Toc28584 </w:instrText>
          </w:r>
          <w:r>
            <w:rPr>
              <w:sz w:val="28"/>
              <w:szCs w:val="24"/>
              <w:highlight w:val="none"/>
            </w:rPr>
            <w:fldChar w:fldCharType="separate"/>
          </w:r>
          <w:r>
            <w:rPr>
              <w:rFonts w:hint="eastAsia" w:ascii="黑体" w:hAnsi="黑体" w:eastAsia="黑体" w:cs="黑体"/>
              <w:spacing w:val="-2"/>
              <w:sz w:val="28"/>
              <w:szCs w:val="44"/>
              <w:highlight w:val="none"/>
            </w:rPr>
            <w:t>一、基本情况</w:t>
          </w:r>
          <w:r>
            <w:rPr>
              <w:sz w:val="28"/>
              <w:szCs w:val="24"/>
            </w:rPr>
            <w:tab/>
          </w:r>
          <w:r>
            <w:rPr>
              <w:sz w:val="28"/>
              <w:szCs w:val="24"/>
            </w:rPr>
            <w:fldChar w:fldCharType="begin"/>
          </w:r>
          <w:r>
            <w:rPr>
              <w:sz w:val="28"/>
              <w:szCs w:val="24"/>
            </w:rPr>
            <w:instrText xml:space="preserve"> PAGEREF _Toc28584 \h </w:instrText>
          </w:r>
          <w:r>
            <w:rPr>
              <w:sz w:val="28"/>
              <w:szCs w:val="24"/>
            </w:rPr>
            <w:fldChar w:fldCharType="separate"/>
          </w:r>
          <w:r>
            <w:rPr>
              <w:sz w:val="28"/>
              <w:szCs w:val="24"/>
            </w:rPr>
            <w:t>1</w:t>
          </w:r>
          <w:r>
            <w:rPr>
              <w:sz w:val="28"/>
              <w:szCs w:val="24"/>
            </w:rPr>
            <w:fldChar w:fldCharType="end"/>
          </w:r>
          <w:r>
            <w:rPr>
              <w:sz w:val="28"/>
              <w:szCs w:val="24"/>
              <w:highlight w:val="none"/>
            </w:rPr>
            <w:fldChar w:fldCharType="end"/>
          </w:r>
        </w:p>
        <w:p w14:paraId="2EF363FE">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_Toc16631 </w:instrText>
          </w:r>
          <w:r>
            <w:rPr>
              <w:sz w:val="28"/>
              <w:szCs w:val="24"/>
              <w:highlight w:val="none"/>
            </w:rPr>
            <w:fldChar w:fldCharType="separate"/>
          </w:r>
          <w:r>
            <w:rPr>
              <w:rFonts w:hint="eastAsia" w:ascii="楷体" w:hAnsi="楷体" w:eastAsia="楷体" w:cs="楷体"/>
              <w:bCs/>
              <w:kern w:val="0"/>
              <w:sz w:val="28"/>
              <w:szCs w:val="44"/>
              <w:highlight w:val="none"/>
            </w:rPr>
            <w:t>（一）项目概况</w:t>
          </w:r>
          <w:r>
            <w:rPr>
              <w:sz w:val="28"/>
              <w:szCs w:val="24"/>
            </w:rPr>
            <w:tab/>
          </w:r>
          <w:r>
            <w:rPr>
              <w:sz w:val="28"/>
              <w:szCs w:val="24"/>
            </w:rPr>
            <w:fldChar w:fldCharType="begin"/>
          </w:r>
          <w:r>
            <w:rPr>
              <w:sz w:val="28"/>
              <w:szCs w:val="24"/>
            </w:rPr>
            <w:instrText xml:space="preserve"> PAGEREF _Toc16631 \h </w:instrText>
          </w:r>
          <w:r>
            <w:rPr>
              <w:sz w:val="28"/>
              <w:szCs w:val="24"/>
            </w:rPr>
            <w:fldChar w:fldCharType="separate"/>
          </w:r>
          <w:r>
            <w:rPr>
              <w:sz w:val="28"/>
              <w:szCs w:val="24"/>
            </w:rPr>
            <w:t>1</w:t>
          </w:r>
          <w:r>
            <w:rPr>
              <w:sz w:val="28"/>
              <w:szCs w:val="24"/>
            </w:rPr>
            <w:fldChar w:fldCharType="end"/>
          </w:r>
          <w:r>
            <w:rPr>
              <w:sz w:val="28"/>
              <w:szCs w:val="24"/>
              <w:highlight w:val="none"/>
            </w:rPr>
            <w:fldChar w:fldCharType="end"/>
          </w:r>
        </w:p>
        <w:p w14:paraId="625655CC">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_Toc5569 </w:instrText>
          </w:r>
          <w:r>
            <w:rPr>
              <w:sz w:val="28"/>
              <w:szCs w:val="24"/>
              <w:highlight w:val="none"/>
            </w:rPr>
            <w:fldChar w:fldCharType="separate"/>
          </w:r>
          <w:r>
            <w:rPr>
              <w:rFonts w:hint="eastAsia" w:ascii="楷体" w:hAnsi="楷体" w:eastAsia="楷体" w:cs="楷体"/>
              <w:bCs/>
              <w:kern w:val="0"/>
              <w:sz w:val="28"/>
              <w:szCs w:val="44"/>
              <w:highlight w:val="none"/>
            </w:rPr>
            <w:t>（二）项目绩效目标</w:t>
          </w:r>
          <w:r>
            <w:rPr>
              <w:sz w:val="28"/>
              <w:szCs w:val="24"/>
            </w:rPr>
            <w:tab/>
          </w:r>
          <w:r>
            <w:rPr>
              <w:sz w:val="28"/>
              <w:szCs w:val="24"/>
            </w:rPr>
            <w:fldChar w:fldCharType="begin"/>
          </w:r>
          <w:r>
            <w:rPr>
              <w:sz w:val="28"/>
              <w:szCs w:val="24"/>
            </w:rPr>
            <w:instrText xml:space="preserve"> PAGEREF _Toc5569 \h </w:instrText>
          </w:r>
          <w:r>
            <w:rPr>
              <w:sz w:val="28"/>
              <w:szCs w:val="24"/>
            </w:rPr>
            <w:fldChar w:fldCharType="separate"/>
          </w:r>
          <w:r>
            <w:rPr>
              <w:sz w:val="28"/>
              <w:szCs w:val="24"/>
            </w:rPr>
            <w:t>2</w:t>
          </w:r>
          <w:r>
            <w:rPr>
              <w:sz w:val="28"/>
              <w:szCs w:val="24"/>
            </w:rPr>
            <w:fldChar w:fldCharType="end"/>
          </w:r>
          <w:r>
            <w:rPr>
              <w:sz w:val="28"/>
              <w:szCs w:val="24"/>
              <w:highlight w:val="none"/>
            </w:rPr>
            <w:fldChar w:fldCharType="end"/>
          </w:r>
        </w:p>
        <w:p w14:paraId="3C4ABB5E">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_Toc16815 </w:instrText>
          </w:r>
          <w:r>
            <w:rPr>
              <w:sz w:val="28"/>
              <w:szCs w:val="24"/>
              <w:highlight w:val="none"/>
            </w:rPr>
            <w:fldChar w:fldCharType="separate"/>
          </w:r>
          <w:r>
            <w:rPr>
              <w:rFonts w:hint="eastAsia" w:ascii="黑体" w:hAnsi="黑体" w:eastAsia="黑体" w:cs="黑体"/>
              <w:spacing w:val="-2"/>
              <w:sz w:val="28"/>
              <w:szCs w:val="44"/>
              <w:highlight w:val="none"/>
            </w:rPr>
            <w:t>二、绩效评价工作开展情况</w:t>
          </w:r>
          <w:r>
            <w:rPr>
              <w:sz w:val="28"/>
              <w:szCs w:val="24"/>
            </w:rPr>
            <w:tab/>
          </w:r>
          <w:r>
            <w:rPr>
              <w:sz w:val="28"/>
              <w:szCs w:val="24"/>
            </w:rPr>
            <w:fldChar w:fldCharType="begin"/>
          </w:r>
          <w:r>
            <w:rPr>
              <w:sz w:val="28"/>
              <w:szCs w:val="24"/>
            </w:rPr>
            <w:instrText xml:space="preserve"> PAGEREF _Toc16815 \h </w:instrText>
          </w:r>
          <w:r>
            <w:rPr>
              <w:sz w:val="28"/>
              <w:szCs w:val="24"/>
            </w:rPr>
            <w:fldChar w:fldCharType="separate"/>
          </w:r>
          <w:r>
            <w:rPr>
              <w:sz w:val="28"/>
              <w:szCs w:val="24"/>
            </w:rPr>
            <w:t>3</w:t>
          </w:r>
          <w:r>
            <w:rPr>
              <w:sz w:val="28"/>
              <w:szCs w:val="24"/>
            </w:rPr>
            <w:fldChar w:fldCharType="end"/>
          </w:r>
          <w:r>
            <w:rPr>
              <w:sz w:val="28"/>
              <w:szCs w:val="24"/>
              <w:highlight w:val="none"/>
            </w:rPr>
            <w:fldChar w:fldCharType="end"/>
          </w:r>
        </w:p>
        <w:p w14:paraId="2127B159">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_Toc29104 </w:instrText>
          </w:r>
          <w:r>
            <w:rPr>
              <w:sz w:val="28"/>
              <w:szCs w:val="24"/>
              <w:highlight w:val="none"/>
            </w:rPr>
            <w:fldChar w:fldCharType="separate"/>
          </w:r>
          <w:r>
            <w:rPr>
              <w:rFonts w:hint="eastAsia" w:ascii="楷体" w:hAnsi="楷体" w:eastAsia="楷体" w:cs="楷体"/>
              <w:bCs/>
              <w:kern w:val="0"/>
              <w:sz w:val="28"/>
              <w:szCs w:val="44"/>
              <w:highlight w:val="none"/>
            </w:rPr>
            <w:t>（一）绩效评价目的与重点</w:t>
          </w:r>
          <w:r>
            <w:rPr>
              <w:sz w:val="28"/>
              <w:szCs w:val="24"/>
            </w:rPr>
            <w:tab/>
          </w:r>
          <w:r>
            <w:rPr>
              <w:sz w:val="28"/>
              <w:szCs w:val="24"/>
            </w:rPr>
            <w:fldChar w:fldCharType="begin"/>
          </w:r>
          <w:r>
            <w:rPr>
              <w:sz w:val="28"/>
              <w:szCs w:val="24"/>
            </w:rPr>
            <w:instrText xml:space="preserve"> PAGEREF _Toc29104 \h </w:instrText>
          </w:r>
          <w:r>
            <w:rPr>
              <w:sz w:val="28"/>
              <w:szCs w:val="24"/>
            </w:rPr>
            <w:fldChar w:fldCharType="separate"/>
          </w:r>
          <w:r>
            <w:rPr>
              <w:sz w:val="28"/>
              <w:szCs w:val="24"/>
            </w:rPr>
            <w:t>3</w:t>
          </w:r>
          <w:r>
            <w:rPr>
              <w:sz w:val="28"/>
              <w:szCs w:val="24"/>
            </w:rPr>
            <w:fldChar w:fldCharType="end"/>
          </w:r>
          <w:r>
            <w:rPr>
              <w:sz w:val="28"/>
              <w:szCs w:val="24"/>
              <w:highlight w:val="none"/>
            </w:rPr>
            <w:fldChar w:fldCharType="end"/>
          </w:r>
        </w:p>
        <w:p w14:paraId="031A5F78">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_Toc28226 </w:instrText>
          </w:r>
          <w:r>
            <w:rPr>
              <w:sz w:val="28"/>
              <w:szCs w:val="24"/>
              <w:highlight w:val="none"/>
            </w:rPr>
            <w:fldChar w:fldCharType="separate"/>
          </w:r>
          <w:r>
            <w:rPr>
              <w:rFonts w:hint="eastAsia" w:ascii="楷体" w:hAnsi="楷体" w:eastAsia="楷体" w:cs="楷体"/>
              <w:bCs/>
              <w:kern w:val="0"/>
              <w:sz w:val="28"/>
              <w:szCs w:val="44"/>
              <w:highlight w:val="none"/>
            </w:rPr>
            <w:t>（二）绩效评价指标与方法</w:t>
          </w:r>
          <w:r>
            <w:rPr>
              <w:sz w:val="28"/>
              <w:szCs w:val="24"/>
            </w:rPr>
            <w:tab/>
          </w:r>
          <w:r>
            <w:rPr>
              <w:sz w:val="28"/>
              <w:szCs w:val="24"/>
            </w:rPr>
            <w:fldChar w:fldCharType="begin"/>
          </w:r>
          <w:r>
            <w:rPr>
              <w:sz w:val="28"/>
              <w:szCs w:val="24"/>
            </w:rPr>
            <w:instrText xml:space="preserve"> PAGEREF _Toc28226 \h </w:instrText>
          </w:r>
          <w:r>
            <w:rPr>
              <w:sz w:val="28"/>
              <w:szCs w:val="24"/>
            </w:rPr>
            <w:fldChar w:fldCharType="separate"/>
          </w:r>
          <w:r>
            <w:rPr>
              <w:sz w:val="28"/>
              <w:szCs w:val="24"/>
            </w:rPr>
            <w:t>3</w:t>
          </w:r>
          <w:r>
            <w:rPr>
              <w:sz w:val="28"/>
              <w:szCs w:val="24"/>
            </w:rPr>
            <w:fldChar w:fldCharType="end"/>
          </w:r>
          <w:r>
            <w:rPr>
              <w:sz w:val="28"/>
              <w:szCs w:val="24"/>
              <w:highlight w:val="none"/>
            </w:rPr>
            <w:fldChar w:fldCharType="end"/>
          </w:r>
        </w:p>
        <w:p w14:paraId="4DC311FC">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_Toc6910 </w:instrText>
          </w:r>
          <w:r>
            <w:rPr>
              <w:sz w:val="28"/>
              <w:szCs w:val="24"/>
              <w:highlight w:val="none"/>
            </w:rPr>
            <w:fldChar w:fldCharType="separate"/>
          </w:r>
          <w:r>
            <w:rPr>
              <w:rFonts w:hint="eastAsia" w:ascii="楷体" w:hAnsi="楷体" w:eastAsia="楷体" w:cs="楷体"/>
              <w:bCs/>
              <w:kern w:val="0"/>
              <w:sz w:val="28"/>
              <w:szCs w:val="44"/>
              <w:highlight w:val="none"/>
            </w:rPr>
            <w:t>（三）绩效评价工作过程</w:t>
          </w:r>
          <w:r>
            <w:rPr>
              <w:sz w:val="28"/>
              <w:szCs w:val="24"/>
            </w:rPr>
            <w:tab/>
          </w:r>
          <w:r>
            <w:rPr>
              <w:sz w:val="28"/>
              <w:szCs w:val="24"/>
            </w:rPr>
            <w:fldChar w:fldCharType="begin"/>
          </w:r>
          <w:r>
            <w:rPr>
              <w:sz w:val="28"/>
              <w:szCs w:val="24"/>
            </w:rPr>
            <w:instrText xml:space="preserve"> PAGEREF _Toc6910 \h </w:instrText>
          </w:r>
          <w:r>
            <w:rPr>
              <w:sz w:val="28"/>
              <w:szCs w:val="24"/>
            </w:rPr>
            <w:fldChar w:fldCharType="separate"/>
          </w:r>
          <w:r>
            <w:rPr>
              <w:sz w:val="28"/>
              <w:szCs w:val="24"/>
            </w:rPr>
            <w:t>6</w:t>
          </w:r>
          <w:r>
            <w:rPr>
              <w:sz w:val="28"/>
              <w:szCs w:val="24"/>
            </w:rPr>
            <w:fldChar w:fldCharType="end"/>
          </w:r>
          <w:r>
            <w:rPr>
              <w:sz w:val="28"/>
              <w:szCs w:val="24"/>
              <w:highlight w:val="none"/>
            </w:rPr>
            <w:fldChar w:fldCharType="end"/>
          </w:r>
        </w:p>
        <w:p w14:paraId="6271C669">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_Toc5345 </w:instrText>
          </w:r>
          <w:r>
            <w:rPr>
              <w:sz w:val="28"/>
              <w:szCs w:val="24"/>
              <w:highlight w:val="none"/>
            </w:rPr>
            <w:fldChar w:fldCharType="separate"/>
          </w:r>
          <w:r>
            <w:rPr>
              <w:rFonts w:hint="eastAsia" w:ascii="黑体" w:hAnsi="黑体" w:eastAsia="黑体" w:cs="黑体"/>
              <w:spacing w:val="-2"/>
              <w:sz w:val="28"/>
              <w:szCs w:val="44"/>
              <w:highlight w:val="none"/>
            </w:rPr>
            <w:t>三、综合评价情况及评价结论</w:t>
          </w:r>
          <w:r>
            <w:rPr>
              <w:sz w:val="28"/>
              <w:szCs w:val="24"/>
            </w:rPr>
            <w:tab/>
          </w:r>
          <w:r>
            <w:rPr>
              <w:sz w:val="28"/>
              <w:szCs w:val="24"/>
            </w:rPr>
            <w:fldChar w:fldCharType="begin"/>
          </w:r>
          <w:r>
            <w:rPr>
              <w:sz w:val="28"/>
              <w:szCs w:val="24"/>
            </w:rPr>
            <w:instrText xml:space="preserve"> PAGEREF _Toc5345 \h </w:instrText>
          </w:r>
          <w:r>
            <w:rPr>
              <w:sz w:val="28"/>
              <w:szCs w:val="24"/>
            </w:rPr>
            <w:fldChar w:fldCharType="separate"/>
          </w:r>
          <w:r>
            <w:rPr>
              <w:sz w:val="28"/>
              <w:szCs w:val="24"/>
            </w:rPr>
            <w:t>9</w:t>
          </w:r>
          <w:r>
            <w:rPr>
              <w:sz w:val="28"/>
              <w:szCs w:val="24"/>
            </w:rPr>
            <w:fldChar w:fldCharType="end"/>
          </w:r>
          <w:r>
            <w:rPr>
              <w:sz w:val="28"/>
              <w:szCs w:val="24"/>
              <w:highlight w:val="none"/>
            </w:rPr>
            <w:fldChar w:fldCharType="end"/>
          </w:r>
        </w:p>
        <w:p w14:paraId="77AC9DBA">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_Toc12452 </w:instrText>
          </w:r>
          <w:r>
            <w:rPr>
              <w:sz w:val="28"/>
              <w:szCs w:val="24"/>
              <w:highlight w:val="none"/>
            </w:rPr>
            <w:fldChar w:fldCharType="separate"/>
          </w:r>
          <w:r>
            <w:rPr>
              <w:rFonts w:hint="eastAsia" w:ascii="黑体" w:hAnsi="黑体" w:eastAsia="黑体" w:cs="黑体"/>
              <w:spacing w:val="-2"/>
              <w:sz w:val="28"/>
              <w:szCs w:val="44"/>
              <w:highlight w:val="none"/>
            </w:rPr>
            <w:t>四、绩效评价指标分析</w:t>
          </w:r>
          <w:r>
            <w:rPr>
              <w:sz w:val="28"/>
              <w:szCs w:val="24"/>
            </w:rPr>
            <w:tab/>
          </w:r>
          <w:r>
            <w:rPr>
              <w:sz w:val="28"/>
              <w:szCs w:val="24"/>
            </w:rPr>
            <w:fldChar w:fldCharType="begin"/>
          </w:r>
          <w:r>
            <w:rPr>
              <w:sz w:val="28"/>
              <w:szCs w:val="24"/>
            </w:rPr>
            <w:instrText xml:space="preserve"> PAGEREF _Toc12452 \h </w:instrText>
          </w:r>
          <w:r>
            <w:rPr>
              <w:sz w:val="28"/>
              <w:szCs w:val="24"/>
            </w:rPr>
            <w:fldChar w:fldCharType="separate"/>
          </w:r>
          <w:r>
            <w:rPr>
              <w:sz w:val="28"/>
              <w:szCs w:val="24"/>
            </w:rPr>
            <w:t>9</w:t>
          </w:r>
          <w:r>
            <w:rPr>
              <w:sz w:val="28"/>
              <w:szCs w:val="24"/>
            </w:rPr>
            <w:fldChar w:fldCharType="end"/>
          </w:r>
          <w:r>
            <w:rPr>
              <w:sz w:val="28"/>
              <w:szCs w:val="24"/>
              <w:highlight w:val="none"/>
            </w:rPr>
            <w:fldChar w:fldCharType="end"/>
          </w:r>
        </w:p>
        <w:p w14:paraId="66ABCE72">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_Toc25608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（一）决策指标</w:t>
          </w:r>
          <w:r>
            <w:rPr>
              <w:sz w:val="28"/>
              <w:szCs w:val="24"/>
            </w:rPr>
            <w:tab/>
          </w:r>
          <w:r>
            <w:rPr>
              <w:sz w:val="28"/>
              <w:szCs w:val="24"/>
            </w:rPr>
            <w:fldChar w:fldCharType="begin"/>
          </w:r>
          <w:r>
            <w:rPr>
              <w:sz w:val="28"/>
              <w:szCs w:val="24"/>
            </w:rPr>
            <w:instrText xml:space="preserve"> PAGEREF _Toc25608 \h </w:instrText>
          </w:r>
          <w:r>
            <w:rPr>
              <w:sz w:val="28"/>
              <w:szCs w:val="24"/>
            </w:rPr>
            <w:fldChar w:fldCharType="separate"/>
          </w:r>
          <w:r>
            <w:rPr>
              <w:sz w:val="28"/>
              <w:szCs w:val="24"/>
            </w:rPr>
            <w:t>9</w:t>
          </w:r>
          <w:r>
            <w:rPr>
              <w:sz w:val="28"/>
              <w:szCs w:val="24"/>
            </w:rPr>
            <w:fldChar w:fldCharType="end"/>
          </w:r>
          <w:r>
            <w:rPr>
              <w:sz w:val="28"/>
              <w:szCs w:val="24"/>
              <w:highlight w:val="none"/>
            </w:rPr>
            <w:fldChar w:fldCharType="end"/>
          </w:r>
        </w:p>
        <w:p w14:paraId="48980504">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_Toc3336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（二）过程指标</w:t>
          </w:r>
          <w:r>
            <w:rPr>
              <w:sz w:val="28"/>
              <w:szCs w:val="24"/>
            </w:rPr>
            <w:tab/>
          </w:r>
          <w:r>
            <w:rPr>
              <w:sz w:val="28"/>
              <w:szCs w:val="24"/>
            </w:rPr>
            <w:fldChar w:fldCharType="begin"/>
          </w:r>
          <w:r>
            <w:rPr>
              <w:sz w:val="28"/>
              <w:szCs w:val="24"/>
            </w:rPr>
            <w:instrText xml:space="preserve"> PAGEREF _Toc3336 \h </w:instrText>
          </w:r>
          <w:r>
            <w:rPr>
              <w:sz w:val="28"/>
              <w:szCs w:val="24"/>
            </w:rPr>
            <w:fldChar w:fldCharType="separate"/>
          </w:r>
          <w:r>
            <w:rPr>
              <w:sz w:val="28"/>
              <w:szCs w:val="24"/>
            </w:rPr>
            <w:t>12</w:t>
          </w:r>
          <w:r>
            <w:rPr>
              <w:sz w:val="28"/>
              <w:szCs w:val="24"/>
            </w:rPr>
            <w:fldChar w:fldCharType="end"/>
          </w:r>
          <w:r>
            <w:rPr>
              <w:sz w:val="28"/>
              <w:szCs w:val="24"/>
              <w:highlight w:val="none"/>
            </w:rPr>
            <w:fldChar w:fldCharType="end"/>
          </w:r>
        </w:p>
        <w:p w14:paraId="5731D81E">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_Toc755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（三）产出指标</w:t>
          </w:r>
          <w:r>
            <w:rPr>
              <w:sz w:val="28"/>
              <w:szCs w:val="24"/>
            </w:rPr>
            <w:tab/>
          </w:r>
          <w:r>
            <w:rPr>
              <w:sz w:val="28"/>
              <w:szCs w:val="24"/>
            </w:rPr>
            <w:fldChar w:fldCharType="begin"/>
          </w:r>
          <w:r>
            <w:rPr>
              <w:sz w:val="28"/>
              <w:szCs w:val="24"/>
            </w:rPr>
            <w:instrText xml:space="preserve"> PAGEREF _Toc755 \h </w:instrText>
          </w:r>
          <w:r>
            <w:rPr>
              <w:sz w:val="28"/>
              <w:szCs w:val="24"/>
            </w:rPr>
            <w:fldChar w:fldCharType="separate"/>
          </w:r>
          <w:r>
            <w:rPr>
              <w:sz w:val="28"/>
              <w:szCs w:val="24"/>
            </w:rPr>
            <w:t>14</w:t>
          </w:r>
          <w:r>
            <w:rPr>
              <w:sz w:val="28"/>
              <w:szCs w:val="24"/>
            </w:rPr>
            <w:fldChar w:fldCharType="end"/>
          </w:r>
          <w:r>
            <w:rPr>
              <w:sz w:val="28"/>
              <w:szCs w:val="24"/>
              <w:highlight w:val="none"/>
            </w:rPr>
            <w:fldChar w:fldCharType="end"/>
          </w:r>
        </w:p>
        <w:p w14:paraId="04778346">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_Toc24350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（四）效益指标</w:t>
          </w:r>
          <w:r>
            <w:rPr>
              <w:sz w:val="28"/>
              <w:szCs w:val="24"/>
            </w:rPr>
            <w:tab/>
          </w:r>
          <w:r>
            <w:rPr>
              <w:sz w:val="28"/>
              <w:szCs w:val="24"/>
            </w:rPr>
            <w:fldChar w:fldCharType="begin"/>
          </w:r>
          <w:r>
            <w:rPr>
              <w:sz w:val="28"/>
              <w:szCs w:val="24"/>
            </w:rPr>
            <w:instrText xml:space="preserve"> PAGEREF _Toc24350 \h </w:instrText>
          </w:r>
          <w:r>
            <w:rPr>
              <w:sz w:val="28"/>
              <w:szCs w:val="24"/>
            </w:rPr>
            <w:fldChar w:fldCharType="separate"/>
          </w:r>
          <w:r>
            <w:rPr>
              <w:sz w:val="28"/>
              <w:szCs w:val="24"/>
            </w:rPr>
            <w:t>16</w:t>
          </w:r>
          <w:r>
            <w:rPr>
              <w:sz w:val="28"/>
              <w:szCs w:val="24"/>
            </w:rPr>
            <w:fldChar w:fldCharType="end"/>
          </w:r>
          <w:r>
            <w:rPr>
              <w:sz w:val="28"/>
              <w:szCs w:val="24"/>
              <w:highlight w:val="none"/>
            </w:rPr>
            <w:fldChar w:fldCharType="end"/>
          </w:r>
        </w:p>
        <w:p w14:paraId="5749E114">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_Toc7885 </w:instrText>
          </w:r>
          <w:r>
            <w:rPr>
              <w:sz w:val="28"/>
              <w:szCs w:val="24"/>
              <w:highlight w:val="none"/>
            </w:rPr>
            <w:fldChar w:fldCharType="separate"/>
          </w:r>
          <w:r>
            <w:rPr>
              <w:rFonts w:hint="eastAsia" w:ascii="黑体" w:hAnsi="黑体" w:eastAsia="黑体" w:cs="黑体"/>
              <w:spacing w:val="-2"/>
              <w:sz w:val="28"/>
              <w:szCs w:val="44"/>
              <w:highlight w:val="none"/>
              <w:lang w:val="en-US" w:eastAsia="zh-CN"/>
            </w:rPr>
            <w:t>五</w:t>
          </w:r>
          <w:r>
            <w:rPr>
              <w:rFonts w:hint="eastAsia" w:ascii="黑体" w:hAnsi="黑体" w:eastAsia="黑体" w:cs="黑体"/>
              <w:spacing w:val="-2"/>
              <w:sz w:val="28"/>
              <w:szCs w:val="44"/>
              <w:highlight w:val="none"/>
            </w:rPr>
            <w:t>、存在的问题</w:t>
          </w:r>
          <w:r>
            <w:rPr>
              <w:sz w:val="28"/>
              <w:szCs w:val="24"/>
            </w:rPr>
            <w:tab/>
          </w:r>
          <w:r>
            <w:rPr>
              <w:sz w:val="28"/>
              <w:szCs w:val="24"/>
            </w:rPr>
            <w:fldChar w:fldCharType="begin"/>
          </w:r>
          <w:r>
            <w:rPr>
              <w:sz w:val="28"/>
              <w:szCs w:val="24"/>
            </w:rPr>
            <w:instrText xml:space="preserve"> PAGEREF _Toc7885 \h </w:instrText>
          </w:r>
          <w:r>
            <w:rPr>
              <w:sz w:val="28"/>
              <w:szCs w:val="24"/>
            </w:rPr>
            <w:fldChar w:fldCharType="separate"/>
          </w:r>
          <w:r>
            <w:rPr>
              <w:sz w:val="28"/>
              <w:szCs w:val="24"/>
            </w:rPr>
            <w:t>17</w:t>
          </w:r>
          <w:r>
            <w:rPr>
              <w:sz w:val="28"/>
              <w:szCs w:val="24"/>
            </w:rPr>
            <w:fldChar w:fldCharType="end"/>
          </w:r>
          <w:r>
            <w:rPr>
              <w:sz w:val="28"/>
              <w:szCs w:val="24"/>
              <w:highlight w:val="none"/>
            </w:rPr>
            <w:fldChar w:fldCharType="end"/>
          </w:r>
        </w:p>
        <w:p w14:paraId="32C0C20E">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_Toc31072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（一）绩效指标不够明确</w:t>
          </w:r>
          <w:r>
            <w:rPr>
              <w:sz w:val="28"/>
              <w:szCs w:val="24"/>
            </w:rPr>
            <w:tab/>
          </w:r>
          <w:r>
            <w:rPr>
              <w:sz w:val="28"/>
              <w:szCs w:val="24"/>
            </w:rPr>
            <w:fldChar w:fldCharType="begin"/>
          </w:r>
          <w:r>
            <w:rPr>
              <w:sz w:val="28"/>
              <w:szCs w:val="24"/>
            </w:rPr>
            <w:instrText xml:space="preserve"> PAGEREF _Toc31072 \h </w:instrText>
          </w:r>
          <w:r>
            <w:rPr>
              <w:sz w:val="28"/>
              <w:szCs w:val="24"/>
            </w:rPr>
            <w:fldChar w:fldCharType="separate"/>
          </w:r>
          <w:r>
            <w:rPr>
              <w:sz w:val="28"/>
              <w:szCs w:val="24"/>
            </w:rPr>
            <w:t>17</w:t>
          </w:r>
          <w:r>
            <w:rPr>
              <w:sz w:val="28"/>
              <w:szCs w:val="24"/>
            </w:rPr>
            <w:fldChar w:fldCharType="end"/>
          </w:r>
          <w:r>
            <w:rPr>
              <w:sz w:val="28"/>
              <w:szCs w:val="24"/>
              <w:highlight w:val="none"/>
            </w:rPr>
            <w:fldChar w:fldCharType="end"/>
          </w:r>
        </w:p>
        <w:p w14:paraId="64EA873D">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_Toc6710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（二）项目采购程序不规范</w:t>
          </w:r>
          <w:r>
            <w:rPr>
              <w:sz w:val="28"/>
              <w:szCs w:val="24"/>
            </w:rPr>
            <w:tab/>
          </w:r>
          <w:r>
            <w:rPr>
              <w:sz w:val="28"/>
              <w:szCs w:val="24"/>
            </w:rPr>
            <w:fldChar w:fldCharType="begin"/>
          </w:r>
          <w:r>
            <w:rPr>
              <w:sz w:val="28"/>
              <w:szCs w:val="24"/>
            </w:rPr>
            <w:instrText xml:space="preserve"> PAGEREF _Toc6710 \h </w:instrText>
          </w:r>
          <w:r>
            <w:rPr>
              <w:sz w:val="28"/>
              <w:szCs w:val="24"/>
            </w:rPr>
            <w:fldChar w:fldCharType="separate"/>
          </w:r>
          <w:r>
            <w:rPr>
              <w:sz w:val="28"/>
              <w:szCs w:val="24"/>
            </w:rPr>
            <w:t>17</w:t>
          </w:r>
          <w:r>
            <w:rPr>
              <w:sz w:val="28"/>
              <w:szCs w:val="24"/>
            </w:rPr>
            <w:fldChar w:fldCharType="end"/>
          </w:r>
          <w:r>
            <w:rPr>
              <w:sz w:val="28"/>
              <w:szCs w:val="24"/>
              <w:highlight w:val="none"/>
            </w:rPr>
            <w:fldChar w:fldCharType="end"/>
          </w:r>
        </w:p>
        <w:p w14:paraId="5FCFFCDB">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_Toc28088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（三）项目未按时完成</w:t>
          </w:r>
          <w:r>
            <w:rPr>
              <w:sz w:val="28"/>
              <w:szCs w:val="24"/>
            </w:rPr>
            <w:tab/>
          </w:r>
          <w:r>
            <w:rPr>
              <w:sz w:val="28"/>
              <w:szCs w:val="24"/>
            </w:rPr>
            <w:fldChar w:fldCharType="begin"/>
          </w:r>
          <w:r>
            <w:rPr>
              <w:sz w:val="28"/>
              <w:szCs w:val="24"/>
            </w:rPr>
            <w:instrText xml:space="preserve"> PAGEREF _Toc28088 \h </w:instrText>
          </w:r>
          <w:r>
            <w:rPr>
              <w:sz w:val="28"/>
              <w:szCs w:val="24"/>
            </w:rPr>
            <w:fldChar w:fldCharType="separate"/>
          </w:r>
          <w:r>
            <w:rPr>
              <w:sz w:val="28"/>
              <w:szCs w:val="24"/>
            </w:rPr>
            <w:t>17</w:t>
          </w:r>
          <w:r>
            <w:rPr>
              <w:sz w:val="28"/>
              <w:szCs w:val="24"/>
            </w:rPr>
            <w:fldChar w:fldCharType="end"/>
          </w:r>
          <w:r>
            <w:rPr>
              <w:sz w:val="28"/>
              <w:szCs w:val="24"/>
              <w:highlight w:val="none"/>
            </w:rPr>
            <w:fldChar w:fldCharType="end"/>
          </w:r>
        </w:p>
        <w:p w14:paraId="232CB5E4">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_Toc14865 </w:instrText>
          </w:r>
          <w:r>
            <w:rPr>
              <w:sz w:val="28"/>
              <w:szCs w:val="24"/>
              <w:highlight w:val="none"/>
            </w:rPr>
            <w:fldChar w:fldCharType="separate"/>
          </w:r>
          <w:r>
            <w:rPr>
              <w:rFonts w:hint="eastAsia" w:ascii="黑体" w:hAnsi="黑体" w:eastAsia="黑体" w:cs="黑体"/>
              <w:spacing w:val="-2"/>
              <w:sz w:val="28"/>
              <w:szCs w:val="44"/>
              <w:highlight w:val="none"/>
              <w:lang w:val="en-US" w:eastAsia="zh-CN"/>
            </w:rPr>
            <w:t>六</w:t>
          </w:r>
          <w:r>
            <w:rPr>
              <w:rFonts w:hint="eastAsia" w:ascii="黑体" w:hAnsi="黑体" w:eastAsia="黑体" w:cs="黑体"/>
              <w:spacing w:val="-2"/>
              <w:sz w:val="28"/>
              <w:szCs w:val="44"/>
              <w:highlight w:val="none"/>
            </w:rPr>
            <w:t>、建议</w:t>
          </w:r>
          <w:r>
            <w:rPr>
              <w:sz w:val="28"/>
              <w:szCs w:val="24"/>
            </w:rPr>
            <w:tab/>
          </w:r>
          <w:r>
            <w:rPr>
              <w:sz w:val="28"/>
              <w:szCs w:val="24"/>
            </w:rPr>
            <w:fldChar w:fldCharType="begin"/>
          </w:r>
          <w:r>
            <w:rPr>
              <w:sz w:val="28"/>
              <w:szCs w:val="24"/>
            </w:rPr>
            <w:instrText xml:space="preserve"> PAGEREF _Toc14865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2EFC9183">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_Toc1432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（一）根据项目实际情况准确设置绩效指标</w:t>
          </w:r>
          <w:r>
            <w:rPr>
              <w:sz w:val="28"/>
              <w:szCs w:val="24"/>
            </w:rPr>
            <w:tab/>
          </w:r>
          <w:r>
            <w:rPr>
              <w:sz w:val="28"/>
              <w:szCs w:val="24"/>
            </w:rPr>
            <w:fldChar w:fldCharType="begin"/>
          </w:r>
          <w:r>
            <w:rPr>
              <w:sz w:val="28"/>
              <w:szCs w:val="24"/>
            </w:rPr>
            <w:instrText xml:space="preserve"> PAGEREF _Toc1432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027A5A30">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_Toc16831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（二）执行政府采购程序</w:t>
          </w:r>
          <w:r>
            <w:rPr>
              <w:sz w:val="28"/>
              <w:szCs w:val="24"/>
            </w:rPr>
            <w:tab/>
          </w:r>
          <w:r>
            <w:rPr>
              <w:sz w:val="28"/>
              <w:szCs w:val="24"/>
            </w:rPr>
            <w:fldChar w:fldCharType="begin"/>
          </w:r>
          <w:r>
            <w:rPr>
              <w:sz w:val="28"/>
              <w:szCs w:val="24"/>
            </w:rPr>
            <w:instrText xml:space="preserve"> PAGEREF _Toc16831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1880D914">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_Toc24517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（三）按时完成项目内容</w:t>
          </w:r>
          <w:r>
            <w:rPr>
              <w:sz w:val="28"/>
              <w:szCs w:val="24"/>
            </w:rPr>
            <w:tab/>
          </w:r>
          <w:r>
            <w:rPr>
              <w:sz w:val="28"/>
              <w:szCs w:val="24"/>
            </w:rPr>
            <w:fldChar w:fldCharType="begin"/>
          </w:r>
          <w:r>
            <w:rPr>
              <w:sz w:val="28"/>
              <w:szCs w:val="24"/>
            </w:rPr>
            <w:instrText xml:space="preserve"> PAGEREF _Toc24517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6BD57953">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_Toc16944 </w:instrText>
          </w:r>
          <w:r>
            <w:rPr>
              <w:sz w:val="28"/>
              <w:szCs w:val="24"/>
              <w:highlight w:val="none"/>
            </w:rPr>
            <w:fldChar w:fldCharType="separate"/>
          </w:r>
          <w:r>
            <w:rPr>
              <w:rFonts w:hint="eastAsia" w:ascii="仿宋" w:hAnsi="仿宋" w:eastAsia="仿宋" w:cs="仿宋"/>
              <w:kern w:val="0"/>
              <w:sz w:val="28"/>
              <w:szCs w:val="44"/>
              <w:highlight w:val="none"/>
            </w:rPr>
            <w:t>附</w:t>
          </w:r>
          <w:r>
            <w:rPr>
              <w:rFonts w:hint="eastAsia" w:ascii="仿宋" w:hAnsi="仿宋" w:eastAsia="仿宋" w:cs="仿宋"/>
              <w:kern w:val="0"/>
              <w:sz w:val="28"/>
              <w:szCs w:val="44"/>
              <w:highlight w:val="none"/>
              <w:lang w:val="en-US" w:eastAsia="zh-CN"/>
            </w:rPr>
            <w:t>件</w:t>
          </w:r>
          <w:r>
            <w:rPr>
              <w:rFonts w:hint="eastAsia" w:ascii="仿宋" w:hAnsi="仿宋" w:eastAsia="仿宋" w:cs="仿宋"/>
              <w:kern w:val="0"/>
              <w:sz w:val="28"/>
              <w:szCs w:val="44"/>
              <w:highlight w:val="none"/>
            </w:rPr>
            <w:t>1.项目绩效评价指标体系打分表</w:t>
          </w:r>
          <w:r>
            <w:rPr>
              <w:sz w:val="28"/>
              <w:szCs w:val="24"/>
            </w:rPr>
            <w:tab/>
          </w:r>
          <w:r>
            <w:rPr>
              <w:sz w:val="28"/>
              <w:szCs w:val="24"/>
            </w:rPr>
            <w:fldChar w:fldCharType="begin"/>
          </w:r>
          <w:r>
            <w:rPr>
              <w:sz w:val="28"/>
              <w:szCs w:val="24"/>
            </w:rPr>
            <w:instrText xml:space="preserve"> PAGEREF _Toc16944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223FEB4D">
          <w:pPr>
            <w:jc w:val="center"/>
            <w:rPr>
              <w:highlight w:val="none"/>
            </w:rPr>
          </w:pPr>
          <w:r>
            <w:rPr>
              <w:b/>
              <w:highlight w:val="none"/>
            </w:rPr>
            <w:fldChar w:fldCharType="end"/>
          </w:r>
          <w:bookmarkStart w:id="3" w:name="_Toc7428"/>
        </w:p>
      </w:sdtContent>
    </w:sdt>
    <w:p w14:paraId="753C8594">
      <w:pPr>
        <w:jc w:val="center"/>
        <w:outlineLvl w:val="0"/>
        <w:rPr>
          <w:rFonts w:ascii="宋体" w:hAnsi="宋体" w:cs="宋体"/>
          <w:b/>
          <w:bCs/>
          <w:spacing w:val="-3"/>
          <w:sz w:val="36"/>
          <w:szCs w:val="36"/>
          <w:highlight w:val="none"/>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4DB5320A">
      <w:pPr>
        <w:jc w:val="center"/>
        <w:outlineLvl w:val="0"/>
        <w:rPr>
          <w:rFonts w:ascii="宋体" w:hAnsi="宋体" w:cs="宋体"/>
          <w:b/>
          <w:bCs/>
          <w:spacing w:val="-3"/>
          <w:sz w:val="36"/>
          <w:szCs w:val="36"/>
          <w:highlight w:val="none"/>
          <w14:textOutline w14:w="6540" w14:cap="sq" w14:cmpd="sng" w14:algn="ctr">
            <w14:solidFill>
              <w14:srgbClr w14:val="000000"/>
            </w14:solidFill>
            <w14:prstDash w14:val="solid"/>
            <w14:bevel/>
          </w14:textOutline>
        </w:rPr>
      </w:pPr>
      <w:bookmarkStart w:id="4" w:name="_Toc16394"/>
      <w:r>
        <w:rPr>
          <w:rFonts w:ascii="宋体" w:hAnsi="宋体" w:cs="宋体"/>
          <w:b/>
          <w:bCs/>
          <w:spacing w:val="-3"/>
          <w:sz w:val="36"/>
          <w:szCs w:val="36"/>
          <w:highlight w:val="none"/>
          <w14:textOutline w14:w="6540" w14:cap="sq" w14:cmpd="sng" w14:algn="ctr">
            <w14:solidFill>
              <w14:srgbClr w14:val="000000"/>
            </w14:solidFill>
            <w14:prstDash w14:val="solid"/>
            <w14:bevel/>
          </w14:textOutline>
        </w:rPr>
        <w:t>摘</w:t>
      </w:r>
      <w:r>
        <w:rPr>
          <w:rFonts w:ascii="宋体" w:hAnsi="宋体" w:cs="宋体"/>
          <w:b/>
          <w:bCs/>
          <w:spacing w:val="27"/>
          <w:sz w:val="36"/>
          <w:szCs w:val="36"/>
          <w:highlight w:val="none"/>
        </w:rPr>
        <w:t xml:space="preserve"> </w:t>
      </w:r>
      <w:r>
        <w:rPr>
          <w:rFonts w:ascii="宋体" w:hAnsi="宋体" w:cs="宋体"/>
          <w:b/>
          <w:bCs/>
          <w:spacing w:val="-3"/>
          <w:sz w:val="36"/>
          <w:szCs w:val="36"/>
          <w:highlight w:val="none"/>
          <w14:textOutline w14:w="6540" w14:cap="sq" w14:cmpd="sng" w14:algn="ctr">
            <w14:solidFill>
              <w14:srgbClr w14:val="000000"/>
            </w14:solidFill>
            <w14:prstDash w14:val="solid"/>
            <w14:bevel/>
          </w14:textOutline>
        </w:rPr>
        <w:t>要</w:t>
      </w:r>
      <w:bookmarkEnd w:id="3"/>
      <w:bookmarkEnd w:id="4"/>
    </w:p>
    <w:p w14:paraId="77C675EC">
      <w:pPr>
        <w:widowControl/>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为了执行《扶风县农村人居环境整治长效管护机制实施方案(暂行)》明确的目标任务，统筹县乡村三级生活垃圾收运处置设施建设和服务，进一步扩大农村生活垃圾收运处置体系覆盖范围，提升无害化处理水平，健全长效管护机制，扶风县住房和城乡建设局编列2023年扶风县农村生活垃圾集中处置运项目计划，经财政局审核，列入部门预算。项目主管部门为扶风县住房和城乡建设局，由扶风县住房和城乡建设局实施。项目预算资金100万元，项目到位资金100万元，项目资金支付100万元，项目结余资金0万元。</w:t>
      </w:r>
    </w:p>
    <w:p w14:paraId="0539042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按照确定的评分细则，对各项指标逐一评价打分，2023年扶风县农村生活垃圾集中处置费绩效评价得分为</w:t>
      </w:r>
      <w:r>
        <w:rPr>
          <w:rFonts w:hint="eastAsia" w:ascii="仿宋" w:hAnsi="仿宋" w:eastAsia="仿宋" w:cs="仿宋"/>
          <w:kern w:val="0"/>
          <w:sz w:val="32"/>
          <w:szCs w:val="32"/>
          <w:highlight w:val="none"/>
          <w:lang w:val="en-US" w:eastAsia="zh-CN"/>
        </w:rPr>
        <w:t>84</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79</w:t>
      </w:r>
      <w:r>
        <w:rPr>
          <w:rFonts w:hint="eastAsia" w:ascii="仿宋" w:hAnsi="仿宋" w:eastAsia="仿宋" w:cs="仿宋"/>
          <w:kern w:val="0"/>
          <w:sz w:val="32"/>
          <w:szCs w:val="32"/>
          <w:highlight w:val="none"/>
        </w:rPr>
        <w:t>分，评价结果等级为“</w:t>
      </w:r>
      <w:r>
        <w:rPr>
          <w:rFonts w:hint="eastAsia" w:ascii="仿宋" w:hAnsi="仿宋" w:eastAsia="仿宋" w:cs="仿宋"/>
          <w:kern w:val="0"/>
          <w:sz w:val="32"/>
          <w:szCs w:val="32"/>
          <w:highlight w:val="none"/>
          <w:lang w:val="en-US" w:eastAsia="zh-CN"/>
        </w:rPr>
        <w:t>良</w:t>
      </w:r>
      <w:r>
        <w:rPr>
          <w:rFonts w:hint="eastAsia" w:ascii="仿宋" w:hAnsi="仿宋" w:eastAsia="仿宋" w:cs="仿宋"/>
          <w:kern w:val="0"/>
          <w:sz w:val="32"/>
          <w:szCs w:val="32"/>
          <w:highlight w:val="none"/>
        </w:rPr>
        <w:t>”。</w:t>
      </w:r>
    </w:p>
    <w:p w14:paraId="29C478C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存在的问题：</w:t>
      </w:r>
      <w:r>
        <w:rPr>
          <w:rFonts w:hint="eastAsia" w:ascii="仿宋" w:hAnsi="仿宋" w:eastAsia="仿宋" w:cs="仿宋"/>
          <w:kern w:val="0"/>
          <w:sz w:val="32"/>
          <w:szCs w:val="32"/>
          <w:highlight w:val="none"/>
          <w:lang w:val="en-US" w:eastAsia="zh-CN"/>
        </w:rPr>
        <w:t>①</w:t>
      </w:r>
      <w:r>
        <w:rPr>
          <w:rFonts w:hint="eastAsia" w:ascii="仿宋" w:hAnsi="仿宋" w:eastAsia="仿宋" w:cs="仿宋"/>
          <w:kern w:val="0"/>
          <w:sz w:val="32"/>
          <w:szCs w:val="32"/>
          <w:highlight w:val="none"/>
        </w:rPr>
        <w:t>绩效指标不够明确</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②项目采购程序不规范；③项目未按时完成</w:t>
      </w:r>
      <w:r>
        <w:rPr>
          <w:rFonts w:hint="eastAsia" w:ascii="仿宋" w:hAnsi="仿宋" w:eastAsia="仿宋" w:cs="仿宋"/>
          <w:kern w:val="0"/>
          <w:sz w:val="32"/>
          <w:szCs w:val="32"/>
          <w:highlight w:val="none"/>
        </w:rPr>
        <w:t>。</w:t>
      </w:r>
    </w:p>
    <w:p w14:paraId="22154BA1">
      <w:pPr>
        <w:spacing w:line="600" w:lineRule="exact"/>
        <w:ind w:firstLine="640" w:firstLineChars="200"/>
        <w:rPr>
          <w:rFonts w:ascii="仿宋" w:hAnsi="仿宋" w:eastAsia="仿宋" w:cs="仿宋"/>
          <w:kern w:val="0"/>
          <w:sz w:val="32"/>
          <w:szCs w:val="32"/>
          <w:highlight w:val="none"/>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highlight w:val="none"/>
        </w:rPr>
        <w:t>具体内容详见报告正文。</w:t>
      </w:r>
    </w:p>
    <w:p w14:paraId="503928A4">
      <w:pPr>
        <w:spacing w:line="600" w:lineRule="exact"/>
        <w:ind w:firstLine="723"/>
        <w:jc w:val="center"/>
        <w:outlineLvl w:val="9"/>
        <w:rPr>
          <w:rFonts w:ascii="方正小标宋_GBK" w:hAnsi="方正小标宋_GBK" w:eastAsia="方正小标宋_GBK" w:cs="方正小标宋_GBK"/>
          <w:b/>
          <w:bCs/>
          <w:kern w:val="2"/>
          <w:sz w:val="36"/>
          <w:szCs w:val="36"/>
          <w:highlight w:val="none"/>
        </w:rPr>
      </w:pPr>
      <w:r>
        <w:rPr>
          <w:rFonts w:hint="eastAsia" w:ascii="方正小标宋_GBK" w:hAnsi="方正小标宋_GBK" w:eastAsia="方正小标宋_GBK" w:cs="方正小标宋_GBK"/>
          <w:b/>
          <w:bCs/>
          <w:kern w:val="2"/>
          <w:sz w:val="36"/>
          <w:szCs w:val="36"/>
          <w:highlight w:val="none"/>
        </w:rPr>
        <w:t>2023年扶风县农村生活垃圾集中处置费</w:t>
      </w:r>
    </w:p>
    <w:p w14:paraId="2CBBBCE4">
      <w:pPr>
        <w:spacing w:line="600" w:lineRule="exact"/>
        <w:ind w:firstLine="723"/>
        <w:jc w:val="center"/>
        <w:outlineLvl w:val="9"/>
        <w:rPr>
          <w:b/>
          <w:bCs/>
          <w:highlight w:val="none"/>
        </w:rPr>
      </w:pPr>
      <w:bookmarkStart w:id="5" w:name="_Toc3207"/>
      <w:bookmarkStart w:id="6" w:name="_Toc3198"/>
      <w:r>
        <w:rPr>
          <w:rFonts w:hint="eastAsia" w:ascii="方正小标宋_GBK" w:hAnsi="方正小标宋_GBK" w:eastAsia="方正小标宋_GBK" w:cs="方正小标宋_GBK"/>
          <w:b/>
          <w:bCs/>
          <w:kern w:val="2"/>
          <w:sz w:val="36"/>
          <w:szCs w:val="36"/>
          <w:highlight w:val="none"/>
        </w:rPr>
        <w:t>绩效评价报告</w:t>
      </w:r>
      <w:bookmarkEnd w:id="5"/>
      <w:bookmarkEnd w:id="6"/>
    </w:p>
    <w:p w14:paraId="61CA3D30">
      <w:pPr>
        <w:spacing w:line="600" w:lineRule="exact"/>
        <w:ind w:firstLine="640" w:firstLineChars="200"/>
        <w:rPr>
          <w:rFonts w:ascii="仿宋" w:hAnsi="仿宋" w:eastAsia="仿宋" w:cs="仿宋"/>
          <w:kern w:val="0"/>
          <w:sz w:val="32"/>
          <w:szCs w:val="32"/>
          <w:highlight w:val="none"/>
        </w:rPr>
      </w:pPr>
      <w:bookmarkStart w:id="7" w:name="_Toc12937"/>
      <w:bookmarkStart w:id="8" w:name="_Toc9863"/>
      <w:bookmarkStart w:id="9" w:name="_Toc23524"/>
      <w:r>
        <w:rPr>
          <w:rFonts w:hint="eastAsia" w:ascii="仿宋" w:hAnsi="仿宋" w:eastAsia="仿宋" w:cs="仿宋"/>
          <w:kern w:val="0"/>
          <w:sz w:val="32"/>
          <w:szCs w:val="32"/>
          <w:highlight w:val="none"/>
        </w:rPr>
        <w:t>为进一步加强财政资金管理，强化支出责任和效率意识，增加财政资金的使用效益，更好</w:t>
      </w:r>
      <w:r>
        <w:rPr>
          <w:rFonts w:hint="eastAsia" w:ascii="仿宋" w:hAnsi="仿宋" w:eastAsia="仿宋" w:cs="仿宋"/>
          <w:kern w:val="0"/>
          <w:sz w:val="32"/>
          <w:szCs w:val="32"/>
          <w:highlight w:val="none"/>
          <w:lang w:val="en-US" w:eastAsia="zh-CN"/>
        </w:rPr>
        <w:t>地</w:t>
      </w:r>
      <w:r>
        <w:rPr>
          <w:rFonts w:hint="eastAsia" w:ascii="仿宋" w:hAnsi="仿宋" w:eastAsia="仿宋" w:cs="仿宋"/>
          <w:kern w:val="0"/>
          <w:sz w:val="32"/>
          <w:szCs w:val="32"/>
          <w:highlight w:val="none"/>
        </w:rPr>
        <w:t>优化资源配置，控制节约成本、提升公共产品质量和公共服务水平，扶风县财政局组织开展了2023</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财政专项资金重点项目绩效评价工作</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于2024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13</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至2024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，对2023年扶风县农村生活垃圾集中处置费进行绩效评价。现将评价情况报告如下：</w:t>
      </w:r>
    </w:p>
    <w:p w14:paraId="15806A33">
      <w:pPr>
        <w:spacing w:before="104" w:line="600" w:lineRule="exact"/>
        <w:ind w:firstLine="672"/>
        <w:outlineLvl w:val="0"/>
        <w:rPr>
          <w:rFonts w:ascii="黑体" w:hAnsi="黑体" w:eastAsia="黑体" w:cs="黑体"/>
          <w:spacing w:val="-2"/>
          <w:sz w:val="32"/>
          <w:szCs w:val="32"/>
          <w:highlight w:val="none"/>
        </w:rPr>
      </w:pPr>
      <w:bookmarkStart w:id="10" w:name="_Toc28584"/>
      <w:r>
        <w:rPr>
          <w:rFonts w:hint="eastAsia" w:ascii="黑体" w:hAnsi="黑体" w:eastAsia="黑体" w:cs="黑体"/>
          <w:spacing w:val="-2"/>
          <w:sz w:val="32"/>
          <w:szCs w:val="32"/>
          <w:highlight w:val="none"/>
        </w:rPr>
        <w:t>一、</w:t>
      </w:r>
      <w:bookmarkEnd w:id="7"/>
      <w:r>
        <w:rPr>
          <w:rFonts w:hint="eastAsia" w:ascii="黑体" w:hAnsi="黑体" w:eastAsia="黑体" w:cs="黑体"/>
          <w:spacing w:val="-2"/>
          <w:sz w:val="32"/>
          <w:szCs w:val="32"/>
          <w:highlight w:val="none"/>
        </w:rPr>
        <w:t>基本情况</w:t>
      </w:r>
      <w:bookmarkEnd w:id="8"/>
      <w:bookmarkEnd w:id="9"/>
      <w:bookmarkEnd w:id="10"/>
    </w:p>
    <w:p w14:paraId="2B7B4C20">
      <w:pPr>
        <w:spacing w:line="600" w:lineRule="exact"/>
        <w:ind w:firstLine="643" w:firstLineChars="200"/>
        <w:outlineLvl w:val="1"/>
        <w:rPr>
          <w:rFonts w:ascii="楷体" w:hAnsi="楷体" w:eastAsia="楷体" w:cs="楷体"/>
          <w:b/>
          <w:bCs/>
          <w:kern w:val="0"/>
          <w:sz w:val="32"/>
          <w:szCs w:val="32"/>
          <w:highlight w:val="none"/>
        </w:rPr>
      </w:pPr>
      <w:bookmarkStart w:id="11" w:name="_Toc3001"/>
      <w:bookmarkStart w:id="12" w:name="_Toc22255"/>
      <w:bookmarkStart w:id="13" w:name="_Toc16631"/>
      <w:bookmarkStart w:id="14" w:name="_Toc24850"/>
      <w:r>
        <w:rPr>
          <w:rFonts w:hint="eastAsia" w:ascii="楷体" w:hAnsi="楷体" w:eastAsia="楷体" w:cs="楷体"/>
          <w:b/>
          <w:bCs/>
          <w:kern w:val="0"/>
          <w:sz w:val="32"/>
          <w:szCs w:val="32"/>
          <w:highlight w:val="none"/>
        </w:rPr>
        <w:t>（一）</w:t>
      </w:r>
      <w:bookmarkEnd w:id="11"/>
      <w:r>
        <w:rPr>
          <w:rFonts w:hint="eastAsia" w:ascii="楷体" w:hAnsi="楷体" w:eastAsia="楷体" w:cs="楷体"/>
          <w:b/>
          <w:bCs/>
          <w:kern w:val="0"/>
          <w:sz w:val="32"/>
          <w:szCs w:val="32"/>
          <w:highlight w:val="none"/>
        </w:rPr>
        <w:t>项目概况</w:t>
      </w:r>
      <w:bookmarkEnd w:id="12"/>
      <w:bookmarkEnd w:id="13"/>
      <w:bookmarkEnd w:id="14"/>
    </w:p>
    <w:p w14:paraId="47A24B7D">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1.项目背景</w:t>
      </w:r>
    </w:p>
    <w:p w14:paraId="1E80450B">
      <w:pPr>
        <w:spacing w:line="600" w:lineRule="exact"/>
        <w:ind w:firstLine="640" w:firstLineChars="200"/>
        <w:rPr>
          <w:highlight w:val="none"/>
        </w:rPr>
      </w:pPr>
      <w:r>
        <w:rPr>
          <w:rFonts w:ascii="仿宋" w:hAnsi="仿宋" w:eastAsia="仿宋" w:cs="仿宋"/>
          <w:kern w:val="0"/>
          <w:sz w:val="32"/>
          <w:szCs w:val="32"/>
          <w:highlight w:val="none"/>
        </w:rPr>
        <w:t>为了执行《扶风县农村人居环境整治长效管护机制实施方案(暂行)》明确的目标任务，统筹县乡村三级生活垃圾收运处置设施建设和服务，进一步扩大农村生活垃圾收运处置体系覆盖范围，提升无害化处理水平，健全长效管护机制，扶风县住房和城乡建设局编列2023年扶风县农村生活垃圾集中处置运项目计划，经财政局审核，列入部门预算。</w:t>
      </w:r>
    </w:p>
    <w:p w14:paraId="136CE19F">
      <w:pPr>
        <w:spacing w:line="600" w:lineRule="exact"/>
        <w:ind w:firstLine="643"/>
        <w:outlineLvl w:val="9"/>
        <w:rPr>
          <w:rFonts w:hint="eastAsia" w:ascii="仿宋" w:hAnsi="仿宋" w:cs="仿宋"/>
          <w:b/>
          <w:bCs/>
          <w:sz w:val="32"/>
          <w:szCs w:val="32"/>
          <w:highlight w:val="none"/>
        </w:rPr>
      </w:pPr>
      <w:bookmarkStart w:id="15" w:name="_Toc2902"/>
      <w:bookmarkStart w:id="16" w:name="_Toc30940"/>
      <w:bookmarkStart w:id="17" w:name="_Toc19838"/>
      <w:bookmarkStart w:id="18" w:name="_Toc6691"/>
      <w:bookmarkStart w:id="19" w:name="_Toc24420"/>
      <w:bookmarkStart w:id="20" w:name="_Toc5307_WPSOffice_Level2"/>
      <w:r>
        <w:rPr>
          <w:rFonts w:hint="eastAsia" w:ascii="仿宋" w:hAnsi="仿宋" w:cs="仿宋"/>
          <w:b/>
          <w:bCs/>
          <w:sz w:val="32"/>
          <w:szCs w:val="32"/>
          <w:highlight w:val="none"/>
        </w:rPr>
        <w:t>2.项目主要内容</w:t>
      </w:r>
    </w:p>
    <w:p w14:paraId="0F1AF61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实行农村生活垃圾实现无害化处置。</w:t>
      </w:r>
    </w:p>
    <w:p w14:paraId="22A1999C">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3.项目实施情况</w:t>
      </w:r>
    </w:p>
    <w:p w14:paraId="2BD53C8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扶风县住房和城乡建设局委托陕西正邦招标有限责任公司对扶风县利用水泥窑协同处置垃圾污泥项目进行公开招标，扶风县住房和城乡建设局于2021年11月15日与冀东海德堡（扶风）水泥有限公司签订了《冀东海德堡(扶风)水泥有限公司利用水泥窑无害化协同处置生活垃圾服务协议》。</w:t>
      </w:r>
      <w:r>
        <w:rPr>
          <w:rFonts w:hint="eastAsia" w:ascii="仿宋" w:hAnsi="仿宋" w:eastAsia="仿宋" w:cs="仿宋"/>
          <w:kern w:val="0"/>
          <w:sz w:val="32"/>
          <w:szCs w:val="32"/>
          <w:highlight w:val="none"/>
          <w:lang w:val="en-US" w:eastAsia="zh-CN"/>
        </w:rPr>
        <w:t>对</w:t>
      </w:r>
      <w:r>
        <w:rPr>
          <w:rFonts w:hint="eastAsia" w:ascii="仿宋" w:hAnsi="仿宋" w:eastAsia="仿宋" w:cs="仿宋"/>
          <w:kern w:val="0"/>
          <w:sz w:val="32"/>
          <w:szCs w:val="32"/>
          <w:highlight w:val="none"/>
        </w:rPr>
        <w:t>农村生活垃圾集中处置已实施完成。</w:t>
      </w:r>
    </w:p>
    <w:p w14:paraId="3A8A9B3A">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4.项目资金投入情况</w:t>
      </w:r>
    </w:p>
    <w:p w14:paraId="76276231">
      <w:pPr>
        <w:adjustRightInd w:val="0"/>
        <w:snapToGrid w:val="0"/>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扶风县财政局于2023年8月2日以《扶风县财政局关于下达财政预算支出指标的通知》（扶财办预〔2023〕088号）向扶风县住房和城乡建设局下达2023年扶风县农村生活垃圾集中处置费100万元。</w:t>
      </w:r>
    </w:p>
    <w:p w14:paraId="647BE0E1">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5.项目支出和资金使用情况</w:t>
      </w:r>
    </w:p>
    <w:p w14:paraId="558DC947">
      <w:pPr>
        <w:spacing w:line="60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（1）资金到位情况</w:t>
      </w:r>
      <w:r>
        <w:rPr>
          <w:rFonts w:hint="eastAsia" w:ascii="仿宋" w:hAnsi="仿宋" w:eastAsia="仿宋" w:cs="仿宋"/>
          <w:kern w:val="0"/>
          <w:sz w:val="32"/>
          <w:szCs w:val="32"/>
          <w:highlight w:val="none"/>
          <w:lang w:eastAsia="zh-CN"/>
        </w:rPr>
        <w:t>：</w:t>
      </w:r>
    </w:p>
    <w:p w14:paraId="3DA0F57B">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项目计划投入资金100万元，实际到位资金100万元，资金到位率100%。</w:t>
      </w:r>
    </w:p>
    <w:p w14:paraId="7DF70D9C">
      <w:pPr>
        <w:spacing w:line="600" w:lineRule="exact"/>
        <w:ind w:firstLine="640" w:firstLineChars="200"/>
        <w:rPr>
          <w:highlight w:val="none"/>
        </w:rPr>
      </w:pPr>
      <w:r>
        <w:rPr>
          <w:rFonts w:hint="eastAsia" w:ascii="仿宋" w:hAnsi="仿宋" w:eastAsia="仿宋" w:cs="仿宋"/>
          <w:kern w:val="0"/>
          <w:sz w:val="32"/>
          <w:szCs w:val="32"/>
          <w:highlight w:val="none"/>
        </w:rPr>
        <w:t>（2）资金支出情况</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项目实际支出资金100万元。</w:t>
      </w:r>
    </w:p>
    <w:p w14:paraId="53C6C648">
      <w:pPr>
        <w:spacing w:line="600" w:lineRule="exact"/>
        <w:ind w:firstLine="643" w:firstLineChars="200"/>
        <w:outlineLvl w:val="1"/>
        <w:rPr>
          <w:rFonts w:ascii="楷体" w:hAnsi="楷体" w:eastAsia="楷体" w:cs="楷体"/>
          <w:b/>
          <w:bCs/>
          <w:kern w:val="0"/>
          <w:sz w:val="32"/>
          <w:szCs w:val="32"/>
          <w:highlight w:val="none"/>
        </w:rPr>
      </w:pPr>
      <w:bookmarkStart w:id="21" w:name="_Toc5569"/>
      <w:r>
        <w:rPr>
          <w:rFonts w:hint="eastAsia" w:ascii="楷体" w:hAnsi="楷体" w:eastAsia="楷体" w:cs="楷体"/>
          <w:b/>
          <w:bCs/>
          <w:kern w:val="0"/>
          <w:sz w:val="32"/>
          <w:szCs w:val="32"/>
          <w:highlight w:val="none"/>
        </w:rPr>
        <w:t>（二）项目绩效目标</w:t>
      </w:r>
      <w:bookmarkEnd w:id="15"/>
      <w:bookmarkEnd w:id="16"/>
      <w:bookmarkEnd w:id="17"/>
      <w:bookmarkEnd w:id="21"/>
    </w:p>
    <w:bookmarkEnd w:id="18"/>
    <w:bookmarkEnd w:id="19"/>
    <w:bookmarkEnd w:id="20"/>
    <w:p w14:paraId="7919FDFC">
      <w:pPr>
        <w:spacing w:line="600" w:lineRule="exact"/>
        <w:ind w:firstLine="640" w:firstLineChars="200"/>
        <w:rPr>
          <w:rFonts w:hint="eastAsia" w:ascii="仿宋" w:hAnsi="仿宋" w:eastAsia="仿宋" w:cs="仿宋"/>
          <w:kern w:val="0"/>
          <w:sz w:val="32"/>
          <w:szCs w:val="32"/>
          <w:highlight w:val="none"/>
        </w:rPr>
      </w:pPr>
      <w:bookmarkStart w:id="22" w:name="_Toc25596"/>
      <w:bookmarkStart w:id="23" w:name="_Toc22895"/>
      <w:bookmarkStart w:id="24" w:name="_Toc16072"/>
      <w:bookmarkStart w:id="25" w:name="_Toc3241_WPSOffice_Level1"/>
      <w:bookmarkStart w:id="26" w:name="_Toc21915"/>
      <w:bookmarkStart w:id="27" w:name="_Toc28175_WPSOffice_Level1"/>
      <w:bookmarkStart w:id="28" w:name="_Hlk2370114"/>
      <w:bookmarkStart w:id="29" w:name="_Toc29537"/>
      <w:bookmarkStart w:id="30" w:name="_Toc8245_WPSOffice_Level1"/>
      <w:bookmarkStart w:id="31" w:name="_Toc29155_WPSOffice_Level1"/>
      <w:bookmarkStart w:id="32" w:name="_Toc18785"/>
      <w:bookmarkStart w:id="33" w:name="_Toc28206"/>
      <w:bookmarkStart w:id="34" w:name="_Toc6828_WPSOffice_Level1"/>
      <w:bookmarkStart w:id="35" w:name="_Toc11420_WPSOffice_Level1"/>
      <w:bookmarkStart w:id="36" w:name="_Toc6281_WPSOffice_Level1"/>
      <w:bookmarkStart w:id="37" w:name="_Toc751_WPSOffice_Level1"/>
      <w:bookmarkStart w:id="38" w:name="_Toc29074"/>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项目总体目标</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农村生活垃圾日产日清并实现无害化处理，为提升农村生活环境提供有力保障，改善农村人居环境，保护生态环境，推动城市可持续发展。</w:t>
      </w:r>
    </w:p>
    <w:p w14:paraId="796F33B8">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项目绩效目标分解</w:t>
      </w:r>
    </w:p>
    <w:p w14:paraId="3C478A0B">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（1）产出指标</w:t>
      </w:r>
    </w:p>
    <w:p w14:paraId="05B03F48">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①数量指标。农村生活垃圾焚烧量30000万吨。</w:t>
      </w:r>
    </w:p>
    <w:p w14:paraId="29F5F1A1">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②质量指标。质量达标率为100%。</w:t>
      </w:r>
    </w:p>
    <w:p w14:paraId="4A3B8B05">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③时效指标。2023年度。</w:t>
      </w:r>
    </w:p>
    <w:p w14:paraId="3ECF9E5D">
      <w:pPr>
        <w:numPr>
          <w:ilvl w:val="0"/>
          <w:numId w:val="1"/>
        </w:num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效益指标</w:t>
      </w:r>
    </w:p>
    <w:p w14:paraId="3D7B57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①社会效益。改善农村人居环境。</w:t>
      </w:r>
    </w:p>
    <w:p w14:paraId="7F0788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②生态效益。保护生态环境。</w:t>
      </w:r>
    </w:p>
    <w:p w14:paraId="07B2A8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③可持续影响。推动城市可持续发展。</w:t>
      </w:r>
    </w:p>
    <w:p w14:paraId="1D4177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rPr>
        <w:t>④满意度。受益群众满意度≥95%。</w:t>
      </w:r>
    </w:p>
    <w:p w14:paraId="2F2F7A21">
      <w:pPr>
        <w:spacing w:before="104" w:line="600" w:lineRule="exact"/>
        <w:ind w:firstLine="672"/>
        <w:outlineLvl w:val="0"/>
        <w:rPr>
          <w:rFonts w:ascii="黑体" w:hAnsi="黑体" w:eastAsia="黑体" w:cs="黑体"/>
          <w:spacing w:val="-2"/>
          <w:sz w:val="32"/>
          <w:szCs w:val="32"/>
          <w:highlight w:val="none"/>
        </w:rPr>
      </w:pPr>
      <w:bookmarkStart w:id="39" w:name="_Toc16815"/>
      <w:r>
        <w:rPr>
          <w:rFonts w:hint="eastAsia" w:ascii="黑体" w:hAnsi="黑体" w:eastAsia="黑体" w:cs="黑体"/>
          <w:spacing w:val="-2"/>
          <w:sz w:val="32"/>
          <w:szCs w:val="32"/>
          <w:highlight w:val="none"/>
        </w:rPr>
        <w:t>二、绩效评价工作开展情况</w:t>
      </w:r>
      <w:bookmarkEnd w:id="22"/>
      <w:bookmarkEnd w:id="23"/>
      <w:bookmarkEnd w:id="39"/>
      <w:bookmarkStart w:id="40" w:name="_Toc1319"/>
      <w:bookmarkStart w:id="41" w:name="_Toc4270"/>
      <w:bookmarkStart w:id="42" w:name="_Toc30013"/>
      <w:bookmarkStart w:id="43" w:name="_Toc1360"/>
    </w:p>
    <w:p w14:paraId="7EAAEDF1">
      <w:pPr>
        <w:spacing w:before="104" w:line="600" w:lineRule="exact"/>
        <w:ind w:firstLine="672"/>
        <w:outlineLvl w:val="1"/>
        <w:rPr>
          <w:highlight w:val="none"/>
        </w:rPr>
      </w:pPr>
      <w:bookmarkStart w:id="44" w:name="_Toc29104"/>
      <w:r>
        <w:rPr>
          <w:rFonts w:hint="eastAsia" w:ascii="楷体" w:hAnsi="楷体" w:eastAsia="楷体" w:cs="楷体"/>
          <w:b/>
          <w:bCs/>
          <w:kern w:val="0"/>
          <w:sz w:val="32"/>
          <w:szCs w:val="32"/>
          <w:highlight w:val="none"/>
        </w:rPr>
        <w:t>（一）绩效评价目的</w:t>
      </w:r>
      <w:bookmarkEnd w:id="40"/>
      <w:bookmarkEnd w:id="41"/>
      <w:bookmarkEnd w:id="42"/>
      <w:r>
        <w:rPr>
          <w:rFonts w:hint="eastAsia" w:ascii="楷体" w:hAnsi="楷体" w:eastAsia="楷体" w:cs="楷体"/>
          <w:b/>
          <w:bCs/>
          <w:kern w:val="0"/>
          <w:sz w:val="32"/>
          <w:szCs w:val="32"/>
          <w:highlight w:val="none"/>
        </w:rPr>
        <w:t>与重点</w:t>
      </w:r>
      <w:bookmarkEnd w:id="43"/>
      <w:bookmarkEnd w:id="44"/>
    </w:p>
    <w:p w14:paraId="0F956F8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次绩效评价的对象为2023年扶风县农村生活垃圾集中处置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1778CC3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绩效评价重点主要包括项目总体绩效目标、各项绩效指标完成情况以及预算执行情况等。</w:t>
      </w:r>
    </w:p>
    <w:p w14:paraId="0B648994">
      <w:pPr>
        <w:spacing w:line="600" w:lineRule="exact"/>
        <w:ind w:firstLine="643" w:firstLineChars="200"/>
        <w:outlineLvl w:val="1"/>
        <w:rPr>
          <w:rFonts w:ascii="楷体" w:hAnsi="楷体" w:eastAsia="楷体" w:cs="楷体"/>
          <w:b/>
          <w:bCs/>
          <w:kern w:val="0"/>
          <w:sz w:val="32"/>
          <w:szCs w:val="32"/>
          <w:highlight w:val="none"/>
        </w:rPr>
      </w:pPr>
      <w:bookmarkStart w:id="45" w:name="_Toc14910"/>
      <w:bookmarkStart w:id="46" w:name="_Toc17204"/>
      <w:bookmarkStart w:id="47" w:name="_Toc18097"/>
      <w:bookmarkStart w:id="48" w:name="_Toc2196"/>
      <w:bookmarkStart w:id="49" w:name="_Toc28226"/>
      <w:r>
        <w:rPr>
          <w:rFonts w:hint="eastAsia" w:ascii="楷体" w:hAnsi="楷体" w:eastAsia="楷体" w:cs="楷体"/>
          <w:b/>
          <w:bCs/>
          <w:kern w:val="0"/>
          <w:sz w:val="32"/>
          <w:szCs w:val="32"/>
          <w:highlight w:val="none"/>
        </w:rPr>
        <w:t>（二）绩效评价</w:t>
      </w:r>
      <w:bookmarkEnd w:id="45"/>
      <w:bookmarkEnd w:id="46"/>
      <w:bookmarkEnd w:id="47"/>
      <w:r>
        <w:rPr>
          <w:rFonts w:hint="eastAsia" w:ascii="楷体" w:hAnsi="楷体" w:eastAsia="楷体" w:cs="楷体"/>
          <w:b/>
          <w:bCs/>
          <w:kern w:val="0"/>
          <w:sz w:val="32"/>
          <w:szCs w:val="32"/>
          <w:highlight w:val="none"/>
        </w:rPr>
        <w:t>指标与方法</w:t>
      </w:r>
      <w:bookmarkEnd w:id="48"/>
      <w:bookmarkEnd w:id="49"/>
    </w:p>
    <w:p w14:paraId="7278CDAD">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1.绩效评价原则</w:t>
      </w:r>
    </w:p>
    <w:p w14:paraId="17D3575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（1）科学规范原则。严格执行规定的程序，按照科学可行的要求，采用定量</w:t>
      </w:r>
      <w:r>
        <w:rPr>
          <w:rFonts w:hint="eastAsia" w:ascii="仿宋" w:hAnsi="仿宋" w:eastAsia="仿宋" w:cs="仿宋"/>
          <w:kern w:val="0"/>
          <w:sz w:val="32"/>
          <w:szCs w:val="32"/>
          <w:highlight w:val="none"/>
          <w:lang w:val="en-US" w:eastAsia="zh-CN"/>
        </w:rPr>
        <w:t>分析</w:t>
      </w:r>
      <w:r>
        <w:rPr>
          <w:rFonts w:hint="eastAsia" w:ascii="仿宋" w:hAnsi="仿宋" w:eastAsia="仿宋" w:cs="仿宋"/>
          <w:kern w:val="0"/>
          <w:sz w:val="32"/>
          <w:szCs w:val="32"/>
          <w:highlight w:val="none"/>
        </w:rPr>
        <w:t xml:space="preserve">与定性分析相结合的方法开展绩效评价工作。 </w:t>
      </w:r>
    </w:p>
    <w:p w14:paraId="297735C4">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（2）绩效相关原则。针对具体支出及其产出绩效进行评价，评价结果清晰反映支出和产出绩效之间的紧密对应关系。 </w:t>
      </w:r>
    </w:p>
    <w:p w14:paraId="6A90974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（3）政策相符原则。制定评价工作方案、现场评价表格及项目评价实施工作均应严格执行有关政策和管理规定。 </w:t>
      </w:r>
    </w:p>
    <w:p w14:paraId="39CA46F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（4）经济合理原则。既要节约成本又要满足项目绩效评价工作的需要。 </w:t>
      </w:r>
    </w:p>
    <w:p w14:paraId="68BE420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555BE86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（6）独立评价原则。评价活动不受任何机构和个人的干预和影响，独立</w:t>
      </w:r>
      <w:r>
        <w:rPr>
          <w:rFonts w:hint="eastAsia" w:ascii="仿宋" w:hAnsi="仿宋" w:eastAsia="仿宋" w:cs="仿宋"/>
          <w:kern w:val="0"/>
          <w:sz w:val="32"/>
          <w:szCs w:val="32"/>
          <w:highlight w:val="none"/>
          <w:lang w:val="en-US" w:eastAsia="zh-CN"/>
        </w:rPr>
        <w:t>作</w:t>
      </w:r>
      <w:r>
        <w:rPr>
          <w:rFonts w:hint="eastAsia" w:ascii="仿宋" w:hAnsi="仿宋" w:eastAsia="仿宋" w:cs="仿宋"/>
          <w:kern w:val="0"/>
          <w:sz w:val="32"/>
          <w:szCs w:val="32"/>
          <w:highlight w:val="none"/>
        </w:rPr>
        <w:t xml:space="preserve">出评价结论。 </w:t>
      </w:r>
    </w:p>
    <w:p w14:paraId="05F71EF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（7）回避原则。评价工作人员和绩效评价工作组不得与项目相关单位有任何利害关系，确保评价结论的客观公正。 </w:t>
      </w:r>
    </w:p>
    <w:p w14:paraId="544A774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（8）反馈原则。将评价的结果反馈给委托部门，作为有关部门以后年度安排项目预算、加强项目管理等工作的重要依据。 </w:t>
      </w:r>
    </w:p>
    <w:p w14:paraId="125D6AD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（9）保密原则。绩效评价工作人员和绩效评价工作组，对与项目评价有关的所有信息资料负有保密义务，未经允许，不得散布。</w:t>
      </w:r>
    </w:p>
    <w:p w14:paraId="1007409D">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2.评价指标体系</w:t>
      </w:r>
    </w:p>
    <w:p w14:paraId="52A9B1E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根据《预算绩效评价共性指标体系框架》（财预〔2013〕53号）、《项目支出绩效评价管理办法》（财预〔2020〕10号）</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highlight w:val="none"/>
        </w:rPr>
        <w:t>等有关规定，结合项目实际情况，本次评价共设置决策指标、过程指标、产出指标、效益指标4个一级指标，对一级指标细分为13个二级指标，对二级指标细分为20个三级指标。</w:t>
      </w:r>
    </w:p>
    <w:p w14:paraId="4C15A9E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562C1F7A">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3.评价方法</w:t>
      </w:r>
    </w:p>
    <w:p w14:paraId="45BAFBA9">
      <w:pPr>
        <w:spacing w:line="600" w:lineRule="exact"/>
        <w:ind w:firstLine="640" w:firstLineChars="200"/>
        <w:rPr>
          <w:rFonts w:ascii="仿宋" w:hAnsi="仿宋" w:eastAsia="仿宋" w:cs="仿宋"/>
          <w:kern w:val="0"/>
          <w:sz w:val="32"/>
          <w:szCs w:val="32"/>
          <w:highlight w:val="none"/>
        </w:rPr>
      </w:pPr>
      <w:bookmarkStart w:id="50" w:name="_Toc29066"/>
      <w:bookmarkStart w:id="51" w:name="_Toc1910"/>
      <w:bookmarkStart w:id="52" w:name="_Toc19283"/>
      <w:r>
        <w:rPr>
          <w:rFonts w:ascii="仿宋" w:hAnsi="仿宋" w:eastAsia="仿宋" w:cs="仿宋"/>
          <w:kern w:val="0"/>
          <w:sz w:val="32"/>
          <w:szCs w:val="32"/>
          <w:highlight w:val="none"/>
        </w:rPr>
        <w:t>本次评价由扶风县财政局组织实施。评价以访谈、材料核查、座谈、问卷调查、选点抽查为基础，坚持定量优先、简便有效的原则，综合运用比较法、因素分析法等方法，对2023年扶风县农村生活垃圾集中处置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3E354D6D">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1</w:t>
      </w:r>
      <w:r>
        <w:rPr>
          <w:rFonts w:ascii="仿宋" w:hAnsi="仿宋" w:eastAsia="仿宋" w:cs="仿宋"/>
          <w:kern w:val="0"/>
          <w:sz w:val="32"/>
          <w:szCs w:val="32"/>
          <w:highlight w:val="none"/>
        </w:rPr>
        <w:t xml:space="preserve">）成本效益分析法。是指将投入与产出、效益进行关联性分析的方法。 </w:t>
      </w:r>
    </w:p>
    <w:p w14:paraId="39DF1C7C">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2</w:t>
      </w:r>
      <w:r>
        <w:rPr>
          <w:rFonts w:ascii="仿宋" w:hAnsi="仿宋" w:eastAsia="仿宋" w:cs="仿宋"/>
          <w:kern w:val="0"/>
          <w:sz w:val="32"/>
          <w:szCs w:val="32"/>
          <w:highlight w:val="none"/>
        </w:rPr>
        <w:t>）比较法。是指将实施情况与绩效目标、历史情况、不同部门和地区同类支出情况进行比较的方法。</w:t>
      </w:r>
    </w:p>
    <w:p w14:paraId="7617C0A2">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3</w:t>
      </w:r>
      <w:r>
        <w:rPr>
          <w:rFonts w:ascii="仿宋" w:hAnsi="仿宋" w:eastAsia="仿宋" w:cs="仿宋"/>
          <w:kern w:val="0"/>
          <w:sz w:val="32"/>
          <w:szCs w:val="32"/>
          <w:highlight w:val="none"/>
        </w:rPr>
        <w:t>）因素分析法。是指综合分析影响绩效目标实现、实施效果的内外部因素的方法。</w:t>
      </w:r>
    </w:p>
    <w:p w14:paraId="7C3C1F27">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4</w:t>
      </w:r>
      <w:r>
        <w:rPr>
          <w:rFonts w:ascii="仿宋" w:hAnsi="仿宋" w:eastAsia="仿宋" w:cs="仿宋"/>
          <w:kern w:val="0"/>
          <w:sz w:val="32"/>
          <w:szCs w:val="32"/>
          <w:highlight w:val="none"/>
        </w:rPr>
        <w:t>）最低成本法。是指在绩效目标确定的前提下，成本最小者为优的方法。</w:t>
      </w:r>
    </w:p>
    <w:p w14:paraId="38B1DBE2">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5</w:t>
      </w:r>
      <w:r>
        <w:rPr>
          <w:rFonts w:ascii="仿宋" w:hAnsi="仿宋" w:eastAsia="仿宋" w:cs="仿宋"/>
          <w:kern w:val="0"/>
          <w:sz w:val="32"/>
          <w:szCs w:val="32"/>
          <w:highlight w:val="none"/>
        </w:rPr>
        <w:t>）公众评判法。是指通过专家评估、公众问卷及抽样调查等方式进行评判的方法。</w:t>
      </w:r>
    </w:p>
    <w:p w14:paraId="0F86C59A">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6</w:t>
      </w:r>
      <w:r>
        <w:rPr>
          <w:rFonts w:ascii="仿宋" w:hAnsi="仿宋" w:eastAsia="仿宋" w:cs="仿宋"/>
          <w:kern w:val="0"/>
          <w:sz w:val="32"/>
          <w:szCs w:val="32"/>
          <w:highlight w:val="none"/>
        </w:rPr>
        <w:t>）标杆管理法。是指以国内外同行业中较高的绩效水平为标杆进行评判的方法。</w:t>
      </w:r>
    </w:p>
    <w:p w14:paraId="0130A43A">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7</w:t>
      </w:r>
      <w:r>
        <w:rPr>
          <w:rFonts w:ascii="仿宋" w:hAnsi="仿宋" w:eastAsia="仿宋" w:cs="仿宋"/>
          <w:kern w:val="0"/>
          <w:sz w:val="32"/>
          <w:szCs w:val="32"/>
          <w:highlight w:val="none"/>
        </w:rPr>
        <w:t>）其他评价方法。</w:t>
      </w:r>
    </w:p>
    <w:p w14:paraId="09638AF8">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4.</w:t>
      </w:r>
      <w:bookmarkEnd w:id="50"/>
      <w:bookmarkEnd w:id="51"/>
      <w:r>
        <w:rPr>
          <w:rFonts w:hint="eastAsia" w:ascii="仿宋" w:hAnsi="仿宋" w:cs="仿宋"/>
          <w:b/>
          <w:bCs/>
          <w:sz w:val="32"/>
          <w:szCs w:val="32"/>
          <w:highlight w:val="none"/>
        </w:rPr>
        <w:t>评价结果等级划分</w:t>
      </w:r>
    </w:p>
    <w:p w14:paraId="2A268134">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334B82D0">
      <w:pPr>
        <w:spacing w:line="600" w:lineRule="exact"/>
        <w:ind w:firstLine="643" w:firstLineChars="200"/>
        <w:outlineLvl w:val="1"/>
        <w:rPr>
          <w:rFonts w:ascii="楷体" w:hAnsi="楷体" w:eastAsia="楷体" w:cs="楷体"/>
          <w:b/>
          <w:bCs/>
          <w:kern w:val="0"/>
          <w:sz w:val="32"/>
          <w:szCs w:val="32"/>
          <w:highlight w:val="none"/>
        </w:rPr>
      </w:pPr>
      <w:bookmarkStart w:id="53" w:name="_Toc17254"/>
      <w:bookmarkStart w:id="54" w:name="_Toc23298"/>
      <w:bookmarkStart w:id="55" w:name="_Toc6910"/>
      <w:bookmarkStart w:id="56" w:name="_Toc15419"/>
      <w:bookmarkStart w:id="57" w:name="_Toc19747"/>
      <w:r>
        <w:rPr>
          <w:rFonts w:hint="eastAsia" w:ascii="楷体" w:hAnsi="楷体" w:eastAsia="楷体" w:cs="楷体"/>
          <w:b/>
          <w:bCs/>
          <w:kern w:val="0"/>
          <w:sz w:val="32"/>
          <w:szCs w:val="32"/>
          <w:highlight w:val="none"/>
        </w:rPr>
        <w:t>（三）绩效评价工作过程</w:t>
      </w:r>
      <w:bookmarkEnd w:id="53"/>
      <w:bookmarkEnd w:id="54"/>
      <w:bookmarkEnd w:id="55"/>
    </w:p>
    <w:p w14:paraId="5AA0656E">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1.前期准备阶段</w:t>
      </w:r>
    </w:p>
    <w:p w14:paraId="6FAC8663">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（1）成立评价工作小组。由扶风县财政局相关业务股室组成评价工作小组</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财政局统一组织，召开绩效评价工作集中进点布置会即业务培训会，明确工作任务、绩效评价流程、时间安排，评价小组依据评价工作安排及时下发重点绩效评价通知。</w:t>
      </w:r>
    </w:p>
    <w:p w14:paraId="01457C5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5FE909D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2953D7B2">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2.组织实施阶段</w:t>
      </w:r>
    </w:p>
    <w:p w14:paraId="286FCA4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77A46A2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43276F83">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3.分析评价阶段</w:t>
      </w:r>
    </w:p>
    <w:p w14:paraId="7F15E69F">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4CECDF52">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4.撰写报告阶段</w:t>
      </w:r>
    </w:p>
    <w:p w14:paraId="221B88A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（1）整理复核资料。根据资料的审核情况，结合现场勘查，评价小组按工作分工，整理评价所需的基本资料和数据。</w:t>
      </w:r>
    </w:p>
    <w:p w14:paraId="237708F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（2）形成初步结论。按照专项资金的评价方法、评价标准、评价指标，由聘请专家对评价对象的绩效情况进行全面的定量、定性分析和综合评价量化打分，对本组评价结果进行汇总，形成初步结论。</w:t>
      </w:r>
    </w:p>
    <w:p w14:paraId="793BA29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1E57556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（4）完成正式报告。结合被评价单位的反馈意见形成正式报告。</w:t>
      </w:r>
    </w:p>
    <w:p w14:paraId="2A749D49">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5.评价结果反馈阶段</w:t>
      </w:r>
    </w:p>
    <w:p w14:paraId="71779773">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绩效评价结束后，由评价小组提出整改建议，</w:t>
      </w:r>
      <w:r>
        <w:rPr>
          <w:rFonts w:hint="eastAsia" w:ascii="仿宋" w:hAnsi="仿宋" w:eastAsia="仿宋" w:cs="仿宋"/>
          <w:kern w:val="0"/>
          <w:sz w:val="32"/>
          <w:szCs w:val="32"/>
          <w:highlight w:val="none"/>
          <w:lang w:val="en-US" w:eastAsia="zh-CN"/>
        </w:rPr>
        <w:t>经</w:t>
      </w:r>
      <w:r>
        <w:rPr>
          <w:rFonts w:hint="eastAsia" w:ascii="仿宋" w:hAnsi="仿宋" w:eastAsia="仿宋" w:cs="仿宋"/>
          <w:kern w:val="0"/>
          <w:sz w:val="32"/>
          <w:szCs w:val="32"/>
          <w:highlight w:val="none"/>
        </w:rPr>
        <w:t>业务股室审定后，将评价报告反馈给资金使用部门。绩效评价结果在一定范围内公开，并作为安排下一年度预算安排的依据。</w:t>
      </w:r>
    </w:p>
    <w:p w14:paraId="63EBEAB2">
      <w:pPr>
        <w:spacing w:before="104" w:line="600" w:lineRule="exact"/>
        <w:ind w:firstLine="672"/>
        <w:outlineLvl w:val="0"/>
        <w:rPr>
          <w:rFonts w:ascii="黑体" w:hAnsi="黑体" w:eastAsia="黑体" w:cs="黑体"/>
          <w:spacing w:val="-2"/>
          <w:sz w:val="32"/>
          <w:szCs w:val="32"/>
          <w:highlight w:val="none"/>
        </w:rPr>
      </w:pPr>
      <w:bookmarkStart w:id="58" w:name="_Toc5345"/>
      <w:r>
        <w:rPr>
          <w:rFonts w:hint="eastAsia" w:ascii="黑体" w:hAnsi="黑体" w:eastAsia="黑体" w:cs="黑体"/>
          <w:spacing w:val="-2"/>
          <w:sz w:val="32"/>
          <w:szCs w:val="32"/>
          <w:highlight w:val="none"/>
        </w:rPr>
        <w:t>三、综合评价情况及评价结论</w:t>
      </w:r>
      <w:bookmarkEnd w:id="56"/>
      <w:bookmarkEnd w:id="58"/>
    </w:p>
    <w:p w14:paraId="36A6FF23">
      <w:pPr>
        <w:adjustRightInd w:val="0"/>
        <w:snapToGrid w:val="0"/>
        <w:spacing w:line="600" w:lineRule="exact"/>
        <w:ind w:firstLine="640" w:firstLineChars="200"/>
        <w:rPr>
          <w:rFonts w:ascii="仿宋" w:hAnsi="仿宋" w:eastAsia="仿宋" w:cs="仿宋"/>
          <w:kern w:val="0"/>
          <w:sz w:val="32"/>
          <w:szCs w:val="32"/>
          <w:highlight w:val="none"/>
        </w:rPr>
      </w:pPr>
      <w:bookmarkStart w:id="59" w:name="_Toc21717"/>
      <w:r>
        <w:rPr>
          <w:rFonts w:hint="eastAsia" w:ascii="仿宋" w:hAnsi="仿宋" w:eastAsia="仿宋" w:cs="仿宋"/>
          <w:kern w:val="0"/>
          <w:sz w:val="32"/>
          <w:szCs w:val="32"/>
          <w:highlight w:val="none"/>
        </w:rPr>
        <w:t>按照确定的评分细则，通过对各项指标逐一评价打分，2023年扶风县农村生活垃圾集中处置费绩效评价得分为</w:t>
      </w:r>
      <w:r>
        <w:rPr>
          <w:rFonts w:hint="eastAsia" w:ascii="仿宋" w:hAnsi="仿宋" w:eastAsia="仿宋" w:cs="仿宋"/>
          <w:kern w:val="0"/>
          <w:sz w:val="32"/>
          <w:szCs w:val="32"/>
          <w:highlight w:val="none"/>
          <w:lang w:val="en-US" w:eastAsia="zh-CN"/>
        </w:rPr>
        <w:t>84</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79</w:t>
      </w:r>
      <w:r>
        <w:rPr>
          <w:rFonts w:hint="eastAsia" w:ascii="仿宋" w:hAnsi="仿宋" w:eastAsia="仿宋" w:cs="仿宋"/>
          <w:kern w:val="0"/>
          <w:sz w:val="32"/>
          <w:szCs w:val="32"/>
          <w:highlight w:val="none"/>
        </w:rPr>
        <w:t>分，评价结果等级为“</w:t>
      </w:r>
      <w:r>
        <w:rPr>
          <w:rFonts w:hint="eastAsia" w:ascii="仿宋" w:hAnsi="仿宋" w:eastAsia="仿宋" w:cs="仿宋"/>
          <w:kern w:val="0"/>
          <w:sz w:val="32"/>
          <w:szCs w:val="32"/>
          <w:highlight w:val="none"/>
          <w:lang w:val="en-US" w:eastAsia="zh-CN"/>
        </w:rPr>
        <w:t>良</w:t>
      </w:r>
      <w:r>
        <w:rPr>
          <w:rFonts w:hint="eastAsia" w:ascii="仿宋" w:hAnsi="仿宋" w:eastAsia="仿宋" w:cs="仿宋"/>
          <w:kern w:val="0"/>
          <w:sz w:val="32"/>
          <w:szCs w:val="32"/>
          <w:highlight w:val="none"/>
        </w:rPr>
        <w:t>”，评分情况详见下表。</w:t>
      </w:r>
    </w:p>
    <w:p w14:paraId="3F3EDD60">
      <w:pPr>
        <w:pStyle w:val="20"/>
        <w:ind w:left="0" w:leftChars="0" w:firstLine="0" w:firstLineChars="0"/>
        <w:jc w:val="center"/>
        <w:rPr>
          <w:rFonts w:ascii="仿宋" w:hAnsi="仿宋" w:eastAsia="仿宋" w:cs="仿宋"/>
          <w:kern w:val="0"/>
          <w:sz w:val="32"/>
          <w:szCs w:val="32"/>
          <w:highlight w:val="none"/>
        </w:rPr>
      </w:pPr>
      <w:r>
        <w:rPr>
          <w:rFonts w:ascii="仿宋" w:hAnsi="仿宋" w:eastAsia="仿宋" w:cs="仿宋"/>
          <w:kern w:val="0"/>
          <w:sz w:val="32"/>
          <w:szCs w:val="32"/>
          <w:highlight w:val="none"/>
        </w:rPr>
        <w:t>绩效指标评分表</w:t>
      </w:r>
    </w:p>
    <w:tbl>
      <w:tblPr>
        <w:tblStyle w:val="14"/>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39F1130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jc w:val="center"/>
        </w:trPr>
        <w:tc>
          <w:tcPr>
            <w:tcW w:w="5000" w:type="pct"/>
            <w:gridSpan w:val="4"/>
            <w:vAlign w:val="center"/>
          </w:tcPr>
          <w:p w14:paraId="32A1B215">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报告绩效指标评分表</w:t>
            </w:r>
          </w:p>
        </w:tc>
      </w:tr>
      <w:tr w14:paraId="2EADED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jc w:val="center"/>
        </w:trPr>
        <w:tc>
          <w:tcPr>
            <w:tcW w:w="1187" w:type="pct"/>
            <w:vAlign w:val="center"/>
          </w:tcPr>
          <w:p w14:paraId="046C0D9D">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一级指标</w:t>
            </w:r>
          </w:p>
        </w:tc>
        <w:tc>
          <w:tcPr>
            <w:tcW w:w="1187" w:type="pct"/>
            <w:vAlign w:val="center"/>
          </w:tcPr>
          <w:p w14:paraId="20A174EA">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分值</w:t>
            </w:r>
          </w:p>
        </w:tc>
        <w:tc>
          <w:tcPr>
            <w:tcW w:w="1187" w:type="pct"/>
            <w:vAlign w:val="center"/>
          </w:tcPr>
          <w:p w14:paraId="3CE75FBF">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w:t>
            </w:r>
          </w:p>
        </w:tc>
        <w:tc>
          <w:tcPr>
            <w:tcW w:w="1440" w:type="pct"/>
            <w:vAlign w:val="center"/>
          </w:tcPr>
          <w:p w14:paraId="03B93FB0">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得分率</w:t>
            </w:r>
          </w:p>
        </w:tc>
      </w:tr>
      <w:tr w14:paraId="6D154E5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6EC45E36">
            <w:pPr>
              <w:jc w:val="center"/>
              <w:rPr>
                <w:highlight w:val="none"/>
              </w:rPr>
            </w:pPr>
            <w:r>
              <w:rPr>
                <w:rFonts w:ascii="仿宋" w:hAnsi="仿宋" w:eastAsia="仿宋" w:cs="仿宋"/>
                <w:b w:val="0"/>
                <w:sz w:val="32"/>
                <w:highlight w:val="none"/>
              </w:rPr>
              <w:t>决策指标</w:t>
            </w:r>
          </w:p>
        </w:tc>
        <w:tc>
          <w:p w14:paraId="2E444F21">
            <w:pPr>
              <w:jc w:val="center"/>
              <w:rPr>
                <w:highlight w:val="none"/>
              </w:rPr>
            </w:pPr>
            <w:r>
              <w:rPr>
                <w:rFonts w:ascii="仿宋" w:hAnsi="仿宋" w:eastAsia="仿宋" w:cs="仿宋"/>
                <w:b w:val="0"/>
                <w:sz w:val="32"/>
                <w:highlight w:val="none"/>
              </w:rPr>
              <w:t>18.0</w:t>
            </w:r>
          </w:p>
        </w:tc>
        <w:tc>
          <w:p w14:paraId="52188BDA">
            <w:pPr>
              <w:jc w:val="center"/>
              <w:rPr>
                <w:highlight w:val="none"/>
              </w:rPr>
            </w:pPr>
            <w:r>
              <w:rPr>
                <w:rFonts w:ascii="仿宋" w:hAnsi="仿宋" w:eastAsia="仿宋" w:cs="仿宋"/>
                <w:b w:val="0"/>
                <w:sz w:val="32"/>
                <w:highlight w:val="none"/>
              </w:rPr>
              <w:t>17.5</w:t>
            </w:r>
          </w:p>
        </w:tc>
        <w:tc>
          <w:p w14:paraId="060B8FE5">
            <w:pPr>
              <w:jc w:val="center"/>
              <w:rPr>
                <w:highlight w:val="none"/>
              </w:rPr>
            </w:pPr>
            <w:r>
              <w:rPr>
                <w:rFonts w:ascii="仿宋" w:hAnsi="仿宋" w:eastAsia="仿宋" w:cs="仿宋"/>
                <w:b w:val="0"/>
                <w:sz w:val="32"/>
                <w:highlight w:val="none"/>
              </w:rPr>
              <w:t>97.22%</w:t>
            </w:r>
          </w:p>
        </w:tc>
      </w:tr>
      <w:tr w14:paraId="368D7AE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5A72865E">
            <w:pPr>
              <w:jc w:val="center"/>
              <w:rPr>
                <w:highlight w:val="none"/>
              </w:rPr>
            </w:pPr>
            <w:r>
              <w:rPr>
                <w:rFonts w:ascii="仿宋" w:hAnsi="仿宋" w:eastAsia="仿宋" w:cs="仿宋"/>
                <w:b w:val="0"/>
                <w:sz w:val="32"/>
                <w:highlight w:val="none"/>
              </w:rPr>
              <w:t>过程指标</w:t>
            </w:r>
          </w:p>
        </w:tc>
        <w:tc>
          <w:p w14:paraId="51E78CD7">
            <w:pPr>
              <w:jc w:val="center"/>
              <w:rPr>
                <w:highlight w:val="none"/>
              </w:rPr>
            </w:pPr>
            <w:r>
              <w:rPr>
                <w:rFonts w:ascii="仿宋" w:hAnsi="仿宋" w:eastAsia="仿宋" w:cs="仿宋"/>
                <w:b w:val="0"/>
                <w:sz w:val="32"/>
                <w:highlight w:val="none"/>
              </w:rPr>
              <w:t>22.0</w:t>
            </w:r>
          </w:p>
        </w:tc>
        <w:tc>
          <w:p w14:paraId="66950B1F">
            <w:pPr>
              <w:jc w:val="center"/>
              <w:rPr>
                <w:highlight w:val="none"/>
              </w:rPr>
            </w:pPr>
            <w:r>
              <w:rPr>
                <w:rFonts w:hint="eastAsia" w:ascii="仿宋" w:hAnsi="仿宋" w:eastAsia="仿宋" w:cs="仿宋"/>
                <w:b w:val="0"/>
                <w:sz w:val="32"/>
                <w:highlight w:val="none"/>
                <w:lang w:val="en-US" w:eastAsia="zh-CN"/>
              </w:rPr>
              <w:t>17</w:t>
            </w:r>
            <w:r>
              <w:rPr>
                <w:rFonts w:ascii="仿宋" w:hAnsi="仿宋" w:eastAsia="仿宋" w:cs="仿宋"/>
                <w:b w:val="0"/>
                <w:sz w:val="32"/>
                <w:highlight w:val="none"/>
              </w:rPr>
              <w:t>.0</w:t>
            </w:r>
          </w:p>
        </w:tc>
        <w:tc>
          <w:p w14:paraId="5065B614">
            <w:pPr>
              <w:jc w:val="center"/>
              <w:rPr>
                <w:highlight w:val="none"/>
              </w:rPr>
            </w:pPr>
            <w:r>
              <w:rPr>
                <w:rFonts w:hint="eastAsia" w:ascii="仿宋" w:hAnsi="仿宋" w:eastAsia="仿宋" w:cs="仿宋"/>
                <w:b w:val="0"/>
                <w:sz w:val="32"/>
                <w:highlight w:val="none"/>
                <w:lang w:val="en-US" w:eastAsia="zh-CN"/>
              </w:rPr>
              <w:t>77</w:t>
            </w:r>
            <w:r>
              <w:rPr>
                <w:rFonts w:ascii="仿宋" w:hAnsi="仿宋" w:eastAsia="仿宋" w:cs="仿宋"/>
                <w:b w:val="0"/>
                <w:sz w:val="32"/>
                <w:highlight w:val="none"/>
              </w:rPr>
              <w:t>.</w:t>
            </w:r>
            <w:r>
              <w:rPr>
                <w:rFonts w:hint="eastAsia" w:ascii="仿宋" w:hAnsi="仿宋" w:eastAsia="仿宋" w:cs="仿宋"/>
                <w:b w:val="0"/>
                <w:sz w:val="32"/>
                <w:highlight w:val="none"/>
                <w:lang w:val="en-US" w:eastAsia="zh-CN"/>
              </w:rPr>
              <w:t>27</w:t>
            </w:r>
            <w:r>
              <w:rPr>
                <w:rFonts w:ascii="仿宋" w:hAnsi="仿宋" w:eastAsia="仿宋" w:cs="仿宋"/>
                <w:b w:val="0"/>
                <w:sz w:val="32"/>
                <w:highlight w:val="none"/>
              </w:rPr>
              <w:t>%</w:t>
            </w:r>
          </w:p>
        </w:tc>
      </w:tr>
      <w:tr w14:paraId="503554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76DA8E25">
            <w:pPr>
              <w:jc w:val="center"/>
              <w:rPr>
                <w:highlight w:val="none"/>
              </w:rPr>
            </w:pPr>
            <w:r>
              <w:rPr>
                <w:rFonts w:ascii="仿宋" w:hAnsi="仿宋" w:eastAsia="仿宋" w:cs="仿宋"/>
                <w:b w:val="0"/>
                <w:sz w:val="32"/>
                <w:highlight w:val="none"/>
              </w:rPr>
              <w:t>产出指标</w:t>
            </w:r>
          </w:p>
        </w:tc>
        <w:tc>
          <w:p w14:paraId="04BF422C">
            <w:pPr>
              <w:jc w:val="center"/>
              <w:rPr>
                <w:highlight w:val="none"/>
              </w:rPr>
            </w:pPr>
            <w:r>
              <w:rPr>
                <w:rFonts w:ascii="仿宋" w:hAnsi="仿宋" w:eastAsia="仿宋" w:cs="仿宋"/>
                <w:b w:val="0"/>
                <w:sz w:val="32"/>
                <w:highlight w:val="none"/>
              </w:rPr>
              <w:t>36.0</w:t>
            </w:r>
          </w:p>
        </w:tc>
        <w:tc>
          <w:p w14:paraId="6141BC14">
            <w:pPr>
              <w:jc w:val="center"/>
              <w:rPr>
                <w:highlight w:val="none"/>
              </w:rPr>
            </w:pPr>
            <w:r>
              <w:rPr>
                <w:rFonts w:hint="eastAsia" w:ascii="仿宋" w:hAnsi="仿宋" w:eastAsia="仿宋" w:cs="仿宋"/>
                <w:b w:val="0"/>
                <w:sz w:val="32"/>
                <w:highlight w:val="none"/>
                <w:lang w:val="en-US" w:eastAsia="zh-CN"/>
              </w:rPr>
              <w:t>27</w:t>
            </w:r>
            <w:r>
              <w:rPr>
                <w:rFonts w:ascii="仿宋" w:hAnsi="仿宋" w:eastAsia="仿宋" w:cs="仿宋"/>
                <w:b w:val="0"/>
                <w:sz w:val="32"/>
                <w:highlight w:val="none"/>
              </w:rPr>
              <w:t>.</w:t>
            </w:r>
            <w:r>
              <w:rPr>
                <w:rFonts w:hint="eastAsia" w:ascii="仿宋" w:hAnsi="仿宋" w:eastAsia="仿宋" w:cs="仿宋"/>
                <w:b w:val="0"/>
                <w:sz w:val="32"/>
                <w:highlight w:val="none"/>
                <w:lang w:val="en-US" w:eastAsia="zh-CN"/>
              </w:rPr>
              <w:t>79</w:t>
            </w:r>
          </w:p>
        </w:tc>
        <w:tc>
          <w:p w14:paraId="2AA2C2A4">
            <w:pPr>
              <w:jc w:val="center"/>
              <w:rPr>
                <w:highlight w:val="none"/>
              </w:rPr>
            </w:pPr>
            <w:r>
              <w:rPr>
                <w:rFonts w:hint="eastAsia" w:ascii="仿宋" w:hAnsi="仿宋" w:eastAsia="仿宋" w:cs="仿宋"/>
                <w:b w:val="0"/>
                <w:sz w:val="32"/>
                <w:highlight w:val="none"/>
                <w:lang w:val="en-US" w:eastAsia="zh-CN"/>
              </w:rPr>
              <w:t>77</w:t>
            </w:r>
            <w:r>
              <w:rPr>
                <w:rFonts w:ascii="仿宋" w:hAnsi="仿宋" w:eastAsia="仿宋" w:cs="仿宋"/>
                <w:b w:val="0"/>
                <w:sz w:val="32"/>
                <w:highlight w:val="none"/>
              </w:rPr>
              <w:t>.</w:t>
            </w:r>
            <w:r>
              <w:rPr>
                <w:rFonts w:hint="eastAsia" w:ascii="仿宋" w:hAnsi="仿宋" w:eastAsia="仿宋" w:cs="仿宋"/>
                <w:b w:val="0"/>
                <w:sz w:val="32"/>
                <w:highlight w:val="none"/>
                <w:lang w:val="en-US" w:eastAsia="zh-CN"/>
              </w:rPr>
              <w:t>19</w:t>
            </w:r>
            <w:r>
              <w:rPr>
                <w:rFonts w:ascii="仿宋" w:hAnsi="仿宋" w:eastAsia="仿宋" w:cs="仿宋"/>
                <w:b w:val="0"/>
                <w:sz w:val="32"/>
                <w:highlight w:val="none"/>
              </w:rPr>
              <w:t>%</w:t>
            </w:r>
          </w:p>
        </w:tc>
      </w:tr>
      <w:tr w14:paraId="2F35C11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63639806">
            <w:pPr>
              <w:jc w:val="center"/>
              <w:rPr>
                <w:highlight w:val="none"/>
              </w:rPr>
            </w:pPr>
            <w:r>
              <w:rPr>
                <w:rFonts w:ascii="仿宋" w:hAnsi="仿宋" w:eastAsia="仿宋" w:cs="仿宋"/>
                <w:b w:val="0"/>
                <w:sz w:val="32"/>
                <w:highlight w:val="none"/>
              </w:rPr>
              <w:t>效益指标</w:t>
            </w:r>
          </w:p>
        </w:tc>
        <w:tc>
          <w:p w14:paraId="145310D5">
            <w:pPr>
              <w:jc w:val="center"/>
              <w:rPr>
                <w:highlight w:val="none"/>
              </w:rPr>
            </w:pPr>
            <w:r>
              <w:rPr>
                <w:rFonts w:ascii="仿宋" w:hAnsi="仿宋" w:eastAsia="仿宋" w:cs="仿宋"/>
                <w:b w:val="0"/>
                <w:sz w:val="32"/>
                <w:highlight w:val="none"/>
              </w:rPr>
              <w:t>24.0</w:t>
            </w:r>
          </w:p>
        </w:tc>
        <w:tc>
          <w:p w14:paraId="4555DC82">
            <w:pPr>
              <w:jc w:val="center"/>
              <w:rPr>
                <w:rFonts w:hint="eastAsia" w:eastAsia="仿宋"/>
                <w:highlight w:val="none"/>
                <w:lang w:eastAsia="zh-CN"/>
              </w:rPr>
            </w:pPr>
            <w:r>
              <w:rPr>
                <w:rFonts w:ascii="仿宋" w:hAnsi="仿宋" w:eastAsia="仿宋" w:cs="仿宋"/>
                <w:b w:val="0"/>
                <w:sz w:val="32"/>
                <w:highlight w:val="none"/>
              </w:rPr>
              <w:t>2</w:t>
            </w:r>
            <w:r>
              <w:rPr>
                <w:rFonts w:hint="eastAsia" w:ascii="仿宋" w:hAnsi="仿宋" w:eastAsia="仿宋" w:cs="仿宋"/>
                <w:b w:val="0"/>
                <w:sz w:val="32"/>
                <w:highlight w:val="none"/>
                <w:lang w:val="en-US" w:eastAsia="zh-CN"/>
              </w:rPr>
              <w:t>2</w:t>
            </w:r>
            <w:r>
              <w:rPr>
                <w:rFonts w:ascii="仿宋" w:hAnsi="仿宋" w:eastAsia="仿宋" w:cs="仿宋"/>
                <w:b w:val="0"/>
                <w:sz w:val="32"/>
                <w:highlight w:val="none"/>
              </w:rPr>
              <w:t>.</w:t>
            </w:r>
            <w:r>
              <w:rPr>
                <w:rFonts w:hint="eastAsia" w:ascii="仿宋" w:hAnsi="仿宋" w:eastAsia="仿宋" w:cs="仿宋"/>
                <w:b w:val="0"/>
                <w:sz w:val="32"/>
                <w:highlight w:val="none"/>
                <w:lang w:val="en-US" w:eastAsia="zh-CN"/>
              </w:rPr>
              <w:t>5</w:t>
            </w:r>
          </w:p>
        </w:tc>
        <w:tc>
          <w:p w14:paraId="65F49BD7">
            <w:pPr>
              <w:jc w:val="center"/>
              <w:rPr>
                <w:highlight w:val="none"/>
              </w:rPr>
            </w:pPr>
            <w:r>
              <w:rPr>
                <w:rFonts w:hint="eastAsia" w:ascii="仿宋" w:hAnsi="仿宋" w:eastAsia="仿宋" w:cs="仿宋"/>
                <w:b w:val="0"/>
                <w:sz w:val="32"/>
                <w:highlight w:val="none"/>
                <w:lang w:val="en-US" w:eastAsia="zh-CN"/>
              </w:rPr>
              <w:t>93</w:t>
            </w:r>
            <w:r>
              <w:rPr>
                <w:rFonts w:ascii="仿宋" w:hAnsi="仿宋" w:eastAsia="仿宋" w:cs="仿宋"/>
                <w:b w:val="0"/>
                <w:sz w:val="32"/>
                <w:highlight w:val="none"/>
              </w:rPr>
              <w:t>.</w:t>
            </w:r>
            <w:r>
              <w:rPr>
                <w:rFonts w:hint="eastAsia" w:ascii="仿宋" w:hAnsi="仿宋" w:eastAsia="仿宋" w:cs="仿宋"/>
                <w:b w:val="0"/>
                <w:sz w:val="32"/>
                <w:highlight w:val="none"/>
                <w:lang w:val="en-US" w:eastAsia="zh-CN"/>
              </w:rPr>
              <w:t>75</w:t>
            </w:r>
            <w:r>
              <w:rPr>
                <w:rFonts w:ascii="仿宋" w:hAnsi="仿宋" w:eastAsia="仿宋" w:cs="仿宋"/>
                <w:b w:val="0"/>
                <w:sz w:val="32"/>
                <w:highlight w:val="none"/>
              </w:rPr>
              <w:t>%</w:t>
            </w:r>
          </w:p>
        </w:tc>
      </w:tr>
    </w:tbl>
    <w:p w14:paraId="12E0270B">
      <w:pPr>
        <w:spacing w:before="104" w:line="600" w:lineRule="exact"/>
        <w:ind w:firstLine="672"/>
        <w:outlineLvl w:val="0"/>
        <w:rPr>
          <w:rFonts w:ascii="黑体" w:hAnsi="黑体" w:eastAsia="黑体" w:cs="黑体"/>
          <w:spacing w:val="-2"/>
          <w:sz w:val="32"/>
          <w:szCs w:val="32"/>
          <w:highlight w:val="none"/>
        </w:rPr>
      </w:pPr>
      <w:bookmarkStart w:id="60" w:name="_Toc12452"/>
      <w:r>
        <w:rPr>
          <w:rFonts w:hint="eastAsia" w:ascii="黑体" w:hAnsi="黑体" w:eastAsia="黑体" w:cs="黑体"/>
          <w:spacing w:val="-2"/>
          <w:sz w:val="32"/>
          <w:szCs w:val="32"/>
          <w:highlight w:val="none"/>
        </w:rPr>
        <w:t>四、</w:t>
      </w:r>
      <w:bookmarkEnd w:id="32"/>
      <w:bookmarkEnd w:id="33"/>
      <w:bookmarkEnd w:id="34"/>
      <w:r>
        <w:rPr>
          <w:rFonts w:hint="eastAsia" w:ascii="黑体" w:hAnsi="黑体" w:eastAsia="黑体" w:cs="黑体"/>
          <w:spacing w:val="-2"/>
          <w:sz w:val="32"/>
          <w:szCs w:val="32"/>
          <w:highlight w:val="none"/>
        </w:rPr>
        <w:t>绩效评价指标分析</w:t>
      </w:r>
      <w:bookmarkEnd w:id="35"/>
      <w:bookmarkEnd w:id="36"/>
      <w:bookmarkEnd w:id="37"/>
      <w:bookmarkEnd w:id="38"/>
      <w:bookmarkEnd w:id="57"/>
      <w:bookmarkEnd w:id="59"/>
      <w:bookmarkEnd w:id="60"/>
      <w:bookmarkStart w:id="61" w:name="_Hlk2366513"/>
      <w:bookmarkStart w:id="62" w:name="_Toc18549_WPSOffice_Level2"/>
      <w:bookmarkStart w:id="63" w:name="_Toc4780_WPSOffice_Level2"/>
      <w:bookmarkStart w:id="64" w:name="_Toc17947"/>
      <w:bookmarkStart w:id="65" w:name="_Toc28988"/>
      <w:bookmarkStart w:id="66" w:name="_Toc26570_WPSOffice_Level2"/>
      <w:bookmarkStart w:id="67" w:name="_Toc379"/>
      <w:bookmarkStart w:id="68" w:name="_Toc24823_WPSOffice_Level2"/>
    </w:p>
    <w:p w14:paraId="32F3B89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69" w:name="_Toc25608"/>
      <w:r>
        <w:rPr>
          <w:rFonts w:hint="eastAsia" w:ascii="楷体_GB2312" w:hAnsi="楷体_GB2312" w:eastAsia="楷体_GB2312" w:cs="楷体_GB2312"/>
          <w:b/>
          <w:bCs/>
          <w:kern w:val="0"/>
          <w:sz w:val="32"/>
          <w:szCs w:val="32"/>
          <w:highlight w:val="none"/>
        </w:rPr>
        <w:t>（一）决策指标（满分18.0分，实得17.5分）</w:t>
      </w:r>
      <w:bookmarkEnd w:id="69"/>
    </w:p>
    <w:p w14:paraId="59487B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1、项目立项（满分6.0分，实得6.0分）</w:t>
      </w:r>
    </w:p>
    <w:p w14:paraId="48606A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（1）立项依据充分性（满分3.0分，实得3.0分）</w:t>
      </w:r>
    </w:p>
    <w:p w14:paraId="717A2C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为了执行《扶风县农村人居环境整治长效管护机制实施方案(暂行)》，扶风县住房和城乡建设局编列2023年扶风县农村生活垃圾集中处置运项目计划，经财政局审核，列入部门预算。项目由扶风县住房和城乡建设局负责实施经分析，项目立项符合国家规定和政策要求；与部门职责范围相符</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符合行业发展规划；属于公共财政支持范围；与相关部门同类项目或部门内部相关项目不重复。</w:t>
      </w:r>
    </w:p>
    <w:p w14:paraId="2D2A11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79418C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（2）立项程序规范性（满分3.0分，实得3.0分）</w:t>
      </w:r>
    </w:p>
    <w:p w14:paraId="5FBD71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 xml:space="preserve">项目由扶风县住房和城乡建设局申请，经扶风县财政局审核，经人大会议审批，列入部门预算。经分析，项目已经按照规定的程序申请设立；审批文件、材料符合相关要求。 </w:t>
      </w:r>
    </w:p>
    <w:p w14:paraId="338F2B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3CBB6F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2、绩效目标（满分7.0分，实得6.5分）</w:t>
      </w:r>
    </w:p>
    <w:p w14:paraId="7DA45E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（1）绩效目标合理性（满分4.0分，实得4.0分）</w:t>
      </w:r>
    </w:p>
    <w:p w14:paraId="45C15E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项目申报</w:t>
      </w:r>
      <w:r>
        <w:rPr>
          <w:rFonts w:hint="eastAsia" w:ascii="仿宋" w:hAnsi="仿宋" w:eastAsia="仿宋" w:cs="仿宋"/>
          <w:kern w:val="0"/>
          <w:sz w:val="32"/>
          <w:szCs w:val="32"/>
          <w:highlight w:val="none"/>
          <w:lang w:val="en-US" w:eastAsia="zh-CN"/>
        </w:rPr>
        <w:t>的绩效目标为：</w:t>
      </w:r>
      <w:r>
        <w:rPr>
          <w:rFonts w:ascii="仿宋" w:hAnsi="仿宋" w:eastAsia="仿宋" w:cs="仿宋"/>
          <w:kern w:val="0"/>
          <w:sz w:val="32"/>
          <w:szCs w:val="32"/>
          <w:highlight w:val="none"/>
        </w:rPr>
        <w:t>实现农村生活垃圾无害化处理，改善农村人居环境。经分析，项目有绩效目标；项目绩效目标与实际工作内容相关；预期产出效益和效果符合正常的业绩水平；与预算确定的项目投资额或资金量相匹配。</w:t>
      </w:r>
    </w:p>
    <w:p w14:paraId="247CFD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根据评分标准，本指标满分4.0分，扣0.0分，评价得4.0分。</w:t>
      </w:r>
    </w:p>
    <w:p w14:paraId="4A7BB9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（2）绩效指标明确性（满分3.0分，实得2.5分）</w:t>
      </w:r>
    </w:p>
    <w:p w14:paraId="444336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项目申报</w:t>
      </w:r>
      <w:r>
        <w:rPr>
          <w:rFonts w:hint="eastAsia" w:ascii="仿宋" w:hAnsi="仿宋" w:eastAsia="仿宋" w:cs="仿宋"/>
          <w:kern w:val="0"/>
          <w:sz w:val="32"/>
          <w:szCs w:val="32"/>
          <w:highlight w:val="none"/>
          <w:lang w:val="en-US" w:eastAsia="zh-CN"/>
        </w:rPr>
        <w:t>的绩效指标为：</w:t>
      </w:r>
      <w:r>
        <w:rPr>
          <w:rFonts w:ascii="仿宋" w:hAnsi="仿宋" w:eastAsia="仿宋" w:cs="仿宋"/>
          <w:kern w:val="0"/>
          <w:sz w:val="32"/>
          <w:szCs w:val="32"/>
          <w:highlight w:val="none"/>
        </w:rPr>
        <w:t>8个镇街116个行政村生活垃圾每日清运至冀东生活垃圾无害化焚烧厂处理年垃圾焚烧处理量30000万吨，投入资金100万元为产出指标；</w:t>
      </w:r>
      <w:r>
        <w:rPr>
          <w:rFonts w:hint="eastAsia" w:ascii="仿宋" w:hAnsi="仿宋" w:eastAsia="仿宋" w:cs="仿宋"/>
          <w:kern w:val="0"/>
          <w:sz w:val="32"/>
          <w:szCs w:val="32"/>
          <w:highlight w:val="none"/>
          <w:lang w:val="en-US" w:eastAsia="zh-CN"/>
        </w:rPr>
        <w:t>效益指标为：</w:t>
      </w:r>
      <w:r>
        <w:rPr>
          <w:rFonts w:ascii="仿宋" w:hAnsi="仿宋" w:eastAsia="仿宋" w:cs="仿宋"/>
          <w:kern w:val="0"/>
          <w:sz w:val="32"/>
          <w:szCs w:val="32"/>
          <w:highlight w:val="none"/>
        </w:rPr>
        <w:t>实现农村生活垃圾无害化处理，改善农村人居环境为效益指标为效益指标。项目设置的具体绩效指标值以历史数据为基础。经分析，项目已将绩效目标进行了细化分解，绩效指标与项目目标任务数或计划数相对应；但</w:t>
      </w:r>
      <w:r>
        <w:rPr>
          <w:rFonts w:hint="eastAsia" w:ascii="仿宋" w:hAnsi="仿宋" w:eastAsia="仿宋" w:cs="仿宋"/>
          <w:kern w:val="0"/>
          <w:sz w:val="32"/>
          <w:szCs w:val="32"/>
          <w:highlight w:val="none"/>
          <w:lang w:val="en-US" w:eastAsia="zh-CN"/>
        </w:rPr>
        <w:t>效益</w:t>
      </w:r>
      <w:r>
        <w:rPr>
          <w:rFonts w:ascii="仿宋" w:hAnsi="仿宋" w:eastAsia="仿宋" w:cs="仿宋"/>
          <w:kern w:val="0"/>
          <w:sz w:val="32"/>
          <w:szCs w:val="32"/>
          <w:highlight w:val="none"/>
        </w:rPr>
        <w:t>指标不清晰、不可衡量。</w:t>
      </w:r>
    </w:p>
    <w:p w14:paraId="1F4C87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根据评分标准，本指标满分3.0分，扣0.5分，评价得2.5分。</w:t>
      </w:r>
    </w:p>
    <w:p w14:paraId="59AB0B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3、资金投入（满分5.0分，实得5.0分）</w:t>
      </w:r>
    </w:p>
    <w:p w14:paraId="06B678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（1）预算编制科学性（满分2.0分，实得2.0分）</w:t>
      </w:r>
    </w:p>
    <w:p w14:paraId="4E320C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由扶风县住房和城乡建设局申请，经扶风县财政局审核，经人大会议审批，列入部门预算。经分析，预算编制经过科学论证；预算内容与项目内容相匹配；预算额度测算依据充分、按照标准编制；预算确定的项目投资额与工作任务相匹配。</w:t>
      </w:r>
    </w:p>
    <w:p w14:paraId="759224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根据评分标准，本指标满分2.0分，扣0.0分，评价得2.0分。</w:t>
      </w:r>
    </w:p>
    <w:p w14:paraId="35EBB3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（2）资金分配合理性（满分3.0分，实得3.0分）</w:t>
      </w:r>
    </w:p>
    <w:p w14:paraId="164FC8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扶风县财政局于2023年8月2日以《扶风县财政局关于下达财政预算支出指标的通知》（扶财办预〔2023〕088号）向扶风县住房和城乡建设局下达项目预算。资金拨付以批准的部门预算额度为准，如确需追加预算的，由扶风县住房和城乡建设局按专项资金设立程序提出申请，报财政部门审批，并按照权限由上级部门审定。经分析，预算资金分配依据充分；资金分配额度合理、与项目实际相适应。</w:t>
      </w:r>
    </w:p>
    <w:p w14:paraId="59AE61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7A05AC8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0" w:name="_Toc3336"/>
      <w:r>
        <w:rPr>
          <w:rFonts w:hint="eastAsia" w:ascii="楷体_GB2312" w:hAnsi="楷体_GB2312" w:eastAsia="楷体_GB2312" w:cs="楷体_GB2312"/>
          <w:b/>
          <w:bCs/>
          <w:kern w:val="0"/>
          <w:sz w:val="32"/>
          <w:szCs w:val="32"/>
          <w:highlight w:val="none"/>
        </w:rPr>
        <w:t>（二）过程指标（满分22.0分，实得</w:t>
      </w:r>
      <w:r>
        <w:rPr>
          <w:rFonts w:hint="eastAsia" w:ascii="楷体_GB2312" w:hAnsi="楷体_GB2312" w:eastAsia="楷体_GB2312" w:cs="楷体_GB2312"/>
          <w:b/>
          <w:bCs/>
          <w:kern w:val="0"/>
          <w:sz w:val="32"/>
          <w:szCs w:val="32"/>
          <w:highlight w:val="none"/>
          <w:lang w:val="en-US" w:eastAsia="zh-CN"/>
        </w:rPr>
        <w:t>17</w:t>
      </w:r>
      <w:r>
        <w:rPr>
          <w:rFonts w:hint="eastAsia" w:ascii="楷体_GB2312" w:hAnsi="楷体_GB2312" w:eastAsia="楷体_GB2312" w:cs="楷体_GB2312"/>
          <w:b/>
          <w:bCs/>
          <w:kern w:val="0"/>
          <w:sz w:val="32"/>
          <w:szCs w:val="32"/>
          <w:highlight w:val="none"/>
        </w:rPr>
        <w:t>.0分）</w:t>
      </w:r>
      <w:bookmarkEnd w:id="70"/>
    </w:p>
    <w:p w14:paraId="4488FD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1、资金管理（满分11.0分，实得11.0分）</w:t>
      </w:r>
    </w:p>
    <w:p w14:paraId="3B34C9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（1）资金到位率（满分4.0分，实得4.0分）</w:t>
      </w:r>
    </w:p>
    <w:p w14:paraId="626363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评价小组查阅了项目有关的预算资金下达文件：扶风县财政局于2023年8月2日以</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扶财办预〔2023〕088号</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文件向扶风县住房和城乡建设局下达项目预算资金100万元，已下达到扶风县住房和城乡建设局；下达预算资金100万元，实际到位资金100万元，资金到位率100.00%。</w:t>
      </w:r>
    </w:p>
    <w:p w14:paraId="4DADF7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根据评分标准，本指标满分4.0分，扣0.0分，评价得4.0分。</w:t>
      </w:r>
    </w:p>
    <w:p w14:paraId="5543F6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（2）预算执行率（满分5.0分，实得5.0分）</w:t>
      </w:r>
    </w:p>
    <w:p w14:paraId="29646D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项目由扶风县财政局拨付给扶风县住房和城乡建设局的实际到位资金100万元，已全部拨付到位，由扶风县住房和城乡建设局向冀东海德堡（扶风）水泥有限公司支付资金100万元，已全部支付，预算执行率100.00%。</w:t>
      </w:r>
    </w:p>
    <w:p w14:paraId="1273D2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根据评分标准，本指标满分5.0分，扣0.0分，评价得5.0分。</w:t>
      </w:r>
    </w:p>
    <w:p w14:paraId="4999EA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（3）资金使用合规性（满分2.0分，实得2.0分）</w:t>
      </w:r>
    </w:p>
    <w:p w14:paraId="5BDE5A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项目资金支付时由冀东海德堡(扶风)水泥有限公司提出申请，经扶风县住房和城乡建设局审核及批准。项目达到合同规定的付款条件，凭合同、发票、验收资料等，按照</w:t>
      </w:r>
      <w:r>
        <w:rPr>
          <w:rFonts w:hint="eastAsia" w:ascii="仿宋" w:hAnsi="仿宋" w:eastAsia="仿宋" w:cs="仿宋"/>
          <w:kern w:val="0"/>
          <w:sz w:val="32"/>
          <w:szCs w:val="32"/>
          <w:highlight w:val="none"/>
          <w:lang w:val="en-US" w:eastAsia="zh-CN"/>
        </w:rPr>
        <w:t>审</w:t>
      </w:r>
      <w:r>
        <w:rPr>
          <w:rFonts w:ascii="仿宋" w:hAnsi="仿宋" w:eastAsia="仿宋" w:cs="仿宋"/>
          <w:kern w:val="0"/>
          <w:sz w:val="32"/>
          <w:szCs w:val="32"/>
          <w:highlight w:val="none"/>
        </w:rPr>
        <w:t>批流程批准后，资金直接支付给</w:t>
      </w:r>
      <w:r>
        <w:rPr>
          <w:rFonts w:hint="eastAsia" w:ascii="仿宋" w:hAnsi="仿宋" w:eastAsia="仿宋" w:cs="仿宋"/>
          <w:kern w:val="0"/>
          <w:sz w:val="32"/>
          <w:szCs w:val="32"/>
          <w:highlight w:val="none"/>
          <w:lang w:val="en-US" w:eastAsia="zh-CN"/>
        </w:rPr>
        <w:t>服务</w:t>
      </w:r>
      <w:r>
        <w:rPr>
          <w:rFonts w:ascii="仿宋" w:hAnsi="仿宋" w:eastAsia="仿宋" w:cs="仿宋"/>
          <w:kern w:val="0"/>
          <w:sz w:val="32"/>
          <w:szCs w:val="32"/>
          <w:highlight w:val="none"/>
        </w:rPr>
        <w:t>单位。经分析，项目资金的支出符合</w:t>
      </w:r>
      <w:r>
        <w:rPr>
          <w:rFonts w:hint="eastAsia" w:ascii="仿宋" w:hAnsi="仿宋" w:eastAsia="仿宋" w:cs="仿宋"/>
          <w:kern w:val="0"/>
          <w:sz w:val="32"/>
          <w:szCs w:val="32"/>
          <w:highlight w:val="none"/>
          <w:lang w:val="en-US" w:eastAsia="zh-CN"/>
        </w:rPr>
        <w:t>单位</w:t>
      </w:r>
      <w:r>
        <w:rPr>
          <w:rFonts w:ascii="仿宋" w:hAnsi="仿宋" w:eastAsia="仿宋" w:cs="仿宋"/>
          <w:kern w:val="0"/>
          <w:sz w:val="32"/>
          <w:szCs w:val="32"/>
          <w:highlight w:val="none"/>
        </w:rPr>
        <w:t>《财务管理制度》的规定；资金的拨付有完整的审批程序和手续；符合项目合同规定的用途；不存在截留、挤占、挪用、虚列支出等情况。</w:t>
      </w:r>
    </w:p>
    <w:p w14:paraId="016F3B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根据评分标准，本指标满分2.0分，扣0.0分，评价得2.0分。</w:t>
      </w:r>
    </w:p>
    <w:p w14:paraId="0B5BD2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2、组织实施（满分11.0分，实得</w:t>
      </w:r>
      <w:r>
        <w:rPr>
          <w:rFonts w:hint="eastAsia" w:ascii="仿宋" w:hAnsi="仿宋" w:eastAsia="仿宋" w:cs="仿宋"/>
          <w:kern w:val="0"/>
          <w:sz w:val="32"/>
          <w:szCs w:val="32"/>
          <w:highlight w:val="none"/>
          <w:lang w:val="en-US" w:eastAsia="zh-CN"/>
        </w:rPr>
        <w:t>6</w:t>
      </w:r>
      <w:r>
        <w:rPr>
          <w:rFonts w:ascii="仿宋" w:hAnsi="仿宋" w:eastAsia="仿宋" w:cs="仿宋"/>
          <w:kern w:val="0"/>
          <w:sz w:val="32"/>
          <w:szCs w:val="32"/>
          <w:highlight w:val="none"/>
        </w:rPr>
        <w:t>.0分）</w:t>
      </w:r>
    </w:p>
    <w:p w14:paraId="4F2808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（1）项目采购规范性（满分5.0分，实得</w:t>
      </w:r>
      <w:r>
        <w:rPr>
          <w:rFonts w:hint="eastAsia" w:ascii="仿宋" w:hAnsi="仿宋" w:eastAsia="仿宋" w:cs="仿宋"/>
          <w:kern w:val="0"/>
          <w:sz w:val="32"/>
          <w:szCs w:val="32"/>
          <w:highlight w:val="none"/>
          <w:lang w:val="en-US" w:eastAsia="zh-CN"/>
        </w:rPr>
        <w:t>0</w:t>
      </w:r>
      <w:r>
        <w:rPr>
          <w:rFonts w:ascii="仿宋" w:hAnsi="仿宋" w:eastAsia="仿宋" w:cs="仿宋"/>
          <w:kern w:val="0"/>
          <w:sz w:val="32"/>
          <w:szCs w:val="32"/>
          <w:highlight w:val="none"/>
        </w:rPr>
        <w:t>.0分）</w:t>
      </w:r>
    </w:p>
    <w:p w14:paraId="713DA6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扶风县住房和城乡建设局委托陕西正邦招标有限责任公司对扶风县利用水泥窑协同处置垃圾污泥项目进行公开招标，通过公开招标确定冀东海德堡(扶风)水泥有限公司为中标单位</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通过该项目对农村生活垃圾进行处置</w:t>
      </w:r>
      <w:r>
        <w:rPr>
          <w:rFonts w:ascii="仿宋" w:hAnsi="仿宋" w:eastAsia="仿宋" w:cs="仿宋"/>
          <w:kern w:val="0"/>
          <w:sz w:val="32"/>
          <w:szCs w:val="32"/>
          <w:highlight w:val="none"/>
        </w:rPr>
        <w:t>。经分析，项目采购</w:t>
      </w:r>
      <w:r>
        <w:rPr>
          <w:rFonts w:hint="eastAsia" w:ascii="仿宋" w:hAnsi="仿宋" w:eastAsia="仿宋" w:cs="仿宋"/>
          <w:kern w:val="0"/>
          <w:sz w:val="32"/>
          <w:szCs w:val="32"/>
          <w:highlight w:val="none"/>
          <w:lang w:val="en-US" w:eastAsia="zh-CN"/>
        </w:rPr>
        <w:t>未单独</w:t>
      </w:r>
      <w:r>
        <w:rPr>
          <w:rFonts w:ascii="仿宋" w:hAnsi="仿宋" w:eastAsia="仿宋" w:cs="仿宋"/>
          <w:kern w:val="0"/>
          <w:sz w:val="32"/>
          <w:szCs w:val="32"/>
          <w:highlight w:val="none"/>
        </w:rPr>
        <w:t>执行</w:t>
      </w:r>
      <w:r>
        <w:rPr>
          <w:rFonts w:hint="eastAsia" w:ascii="仿宋" w:hAnsi="仿宋" w:eastAsia="仿宋" w:cs="仿宋"/>
          <w:kern w:val="0"/>
          <w:sz w:val="32"/>
          <w:szCs w:val="32"/>
          <w:highlight w:val="none"/>
          <w:lang w:val="en-US" w:eastAsia="zh-CN"/>
        </w:rPr>
        <w:t>政府采购</w:t>
      </w:r>
      <w:r>
        <w:rPr>
          <w:rFonts w:ascii="仿宋" w:hAnsi="仿宋" w:eastAsia="仿宋" w:cs="仿宋"/>
          <w:kern w:val="0"/>
          <w:sz w:val="32"/>
          <w:szCs w:val="32"/>
          <w:highlight w:val="none"/>
        </w:rPr>
        <w:t>程序。</w:t>
      </w:r>
    </w:p>
    <w:p w14:paraId="6600D4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0</w:t>
      </w:r>
      <w:r>
        <w:rPr>
          <w:rFonts w:ascii="仿宋" w:hAnsi="仿宋" w:eastAsia="仿宋" w:cs="仿宋"/>
          <w:kern w:val="0"/>
          <w:sz w:val="32"/>
          <w:szCs w:val="32"/>
          <w:highlight w:val="none"/>
        </w:rPr>
        <w:t>.0分。</w:t>
      </w:r>
    </w:p>
    <w:p w14:paraId="2E2FDD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（2）管理制度健全性（满分2.0分，实得2.0分）</w:t>
      </w:r>
    </w:p>
    <w:p w14:paraId="6F594C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单位</w:t>
      </w:r>
      <w:r>
        <w:rPr>
          <w:rFonts w:ascii="仿宋" w:hAnsi="仿宋" w:eastAsia="仿宋" w:cs="仿宋"/>
          <w:kern w:val="0"/>
          <w:sz w:val="32"/>
          <w:szCs w:val="32"/>
          <w:highlight w:val="none"/>
        </w:rPr>
        <w:t>《财务管理制度》对项目资金的管理和使用进行了严格的规定，对于规范资金管理，各类政策性资金和项目资金由相关股室提前编制分配方案，经分管领导审批后，送局领导班子会议研究讨论，确定分配计划；对于项目资金的使用，应遵循目标相关、政策相符、经济合理、重点预防四个原则。严禁使用项目资金支付各种罚款、捐款、赞助、投资等，严禁以任何方式挪作</w:t>
      </w:r>
      <w:r>
        <w:rPr>
          <w:rFonts w:hint="eastAsia" w:ascii="仿宋" w:hAnsi="仿宋" w:eastAsia="仿宋" w:cs="仿宋"/>
          <w:kern w:val="0"/>
          <w:sz w:val="32"/>
          <w:szCs w:val="32"/>
          <w:highlight w:val="none"/>
          <w:lang w:val="en-US" w:eastAsia="zh-CN"/>
        </w:rPr>
        <w:t>他</w:t>
      </w:r>
      <w:r>
        <w:rPr>
          <w:rFonts w:ascii="仿宋" w:hAnsi="仿宋" w:eastAsia="仿宋" w:cs="仿宋"/>
          <w:kern w:val="0"/>
          <w:sz w:val="32"/>
          <w:szCs w:val="32"/>
          <w:highlight w:val="none"/>
        </w:rPr>
        <w:t>用。确保项目资金专款专用，分配使用实事求是、合理高效。《合同管理制度》对合同的订立、履行、变更及纠纷处理</w:t>
      </w:r>
      <w:r>
        <w:rPr>
          <w:rFonts w:hint="eastAsia" w:ascii="仿宋" w:hAnsi="仿宋" w:eastAsia="仿宋" w:cs="仿宋"/>
          <w:kern w:val="0"/>
          <w:sz w:val="32"/>
          <w:szCs w:val="32"/>
          <w:highlight w:val="none"/>
          <w:lang w:val="en-US" w:eastAsia="zh-CN"/>
        </w:rPr>
        <w:t>作</w:t>
      </w:r>
      <w:r>
        <w:rPr>
          <w:rFonts w:ascii="仿宋" w:hAnsi="仿宋" w:eastAsia="仿宋" w:cs="仿宋"/>
          <w:kern w:val="0"/>
          <w:sz w:val="32"/>
          <w:szCs w:val="32"/>
          <w:highlight w:val="none"/>
        </w:rPr>
        <w:t>出了清晰的说明。合同有法律，行政法规规定采用书面形式或当事人约定采用书面形式的应订立书面合同，在合同订立前应由合同承办股室充分了解合同对方的主体资格，资信情况等有关内容；合同签订后应当遵循</w:t>
      </w:r>
      <w:r>
        <w:rPr>
          <w:rFonts w:hint="eastAsia" w:ascii="仿宋" w:hAnsi="仿宋" w:eastAsia="仿宋" w:cs="仿宋"/>
          <w:kern w:val="0"/>
          <w:sz w:val="32"/>
          <w:szCs w:val="32"/>
          <w:highlight w:val="none"/>
          <w:lang w:val="en-US" w:eastAsia="zh-CN"/>
        </w:rPr>
        <w:t>诚实守信</w:t>
      </w:r>
      <w:r>
        <w:rPr>
          <w:rFonts w:ascii="仿宋" w:hAnsi="仿宋" w:eastAsia="仿宋" w:cs="仿宋"/>
          <w:kern w:val="0"/>
          <w:sz w:val="32"/>
          <w:szCs w:val="32"/>
          <w:highlight w:val="none"/>
        </w:rPr>
        <w:t>的原则，严格履行合同</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合同承办</w:t>
      </w:r>
      <w:r>
        <w:rPr>
          <w:rFonts w:hint="eastAsia" w:ascii="仿宋" w:hAnsi="仿宋" w:eastAsia="仿宋" w:cs="仿宋"/>
          <w:kern w:val="0"/>
          <w:sz w:val="32"/>
          <w:szCs w:val="32"/>
          <w:highlight w:val="none"/>
          <w:lang w:val="en-US" w:eastAsia="zh-CN"/>
        </w:rPr>
        <w:t>股室</w:t>
      </w:r>
      <w:r>
        <w:rPr>
          <w:rFonts w:ascii="仿宋" w:hAnsi="仿宋" w:eastAsia="仿宋" w:cs="仿宋"/>
          <w:kern w:val="0"/>
          <w:sz w:val="32"/>
          <w:szCs w:val="32"/>
          <w:highlight w:val="none"/>
        </w:rPr>
        <w:t>应对合同履行负责；合同变更或解除应由合同承办股</w:t>
      </w:r>
      <w:r>
        <w:rPr>
          <w:rFonts w:hint="eastAsia" w:ascii="仿宋" w:hAnsi="仿宋" w:eastAsia="仿宋" w:cs="仿宋"/>
          <w:kern w:val="0"/>
          <w:sz w:val="32"/>
          <w:szCs w:val="32"/>
          <w:highlight w:val="none"/>
          <w:lang w:val="en-US" w:eastAsia="zh-CN"/>
        </w:rPr>
        <w:t>室</w:t>
      </w:r>
      <w:bookmarkStart w:id="82" w:name="_GoBack"/>
      <w:bookmarkEnd w:id="82"/>
      <w:r>
        <w:rPr>
          <w:rFonts w:ascii="仿宋" w:hAnsi="仿宋" w:eastAsia="仿宋" w:cs="仿宋"/>
          <w:kern w:val="0"/>
          <w:sz w:val="32"/>
          <w:szCs w:val="32"/>
          <w:highlight w:val="none"/>
        </w:rPr>
        <w:t>及时与对方单位协调处理。双方发生合同纠纷，应及时报送上级部门与对方单位协调沟通；在合同纠纷处理过程中，未经授权不得向对方作出实质性的承诺。经分析，项目具有相应的财务和业务管理制度；财务和业务管理制度合法、合规、完整。</w:t>
      </w:r>
    </w:p>
    <w:p w14:paraId="1055CD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根据评分标准，本指标满分2.0分，扣0.0分，评价得2.0分。</w:t>
      </w:r>
    </w:p>
    <w:p w14:paraId="16B49B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（3）绩效自评规范性（满分4.0分，实得4.0分）</w:t>
      </w:r>
    </w:p>
    <w:p w14:paraId="7A4184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扶风县住房和城乡建设局对2023年扶风县农村生活垃圾集中处置项目进行了绩效自评工作；经分析，项目实施单位进行了绩效自评，打分表完整；自评报告数据准确、内容翔实。</w:t>
      </w:r>
    </w:p>
    <w:p w14:paraId="323D00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2969296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1" w:name="_Toc755"/>
      <w:r>
        <w:rPr>
          <w:rFonts w:hint="eastAsia" w:ascii="楷体_GB2312" w:hAnsi="楷体_GB2312" w:eastAsia="楷体_GB2312" w:cs="楷体_GB2312"/>
          <w:b/>
          <w:bCs/>
          <w:kern w:val="0"/>
          <w:sz w:val="32"/>
          <w:szCs w:val="32"/>
          <w:highlight w:val="none"/>
        </w:rPr>
        <w:t>（三）产出指标（满分36.0分，实得</w:t>
      </w:r>
      <w:r>
        <w:rPr>
          <w:rFonts w:hint="eastAsia" w:ascii="楷体_GB2312" w:hAnsi="楷体_GB2312" w:eastAsia="楷体_GB2312" w:cs="楷体_GB2312"/>
          <w:b/>
          <w:bCs/>
          <w:kern w:val="0"/>
          <w:sz w:val="32"/>
          <w:szCs w:val="32"/>
          <w:highlight w:val="none"/>
          <w:lang w:val="en-US" w:eastAsia="zh-CN"/>
        </w:rPr>
        <w:t>27</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79</w:t>
      </w:r>
      <w:r>
        <w:rPr>
          <w:rFonts w:hint="eastAsia" w:ascii="楷体_GB2312" w:hAnsi="楷体_GB2312" w:eastAsia="楷体_GB2312" w:cs="楷体_GB2312"/>
          <w:b/>
          <w:bCs/>
          <w:kern w:val="0"/>
          <w:sz w:val="32"/>
          <w:szCs w:val="32"/>
          <w:highlight w:val="none"/>
        </w:rPr>
        <w:t>分）</w:t>
      </w:r>
      <w:bookmarkEnd w:id="71"/>
    </w:p>
    <w:p w14:paraId="278BF9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1、数量指标（满分9.0分，实得</w:t>
      </w:r>
      <w:r>
        <w:rPr>
          <w:rFonts w:hint="eastAsia" w:ascii="仿宋" w:hAnsi="仿宋" w:eastAsia="仿宋" w:cs="仿宋"/>
          <w:kern w:val="0"/>
          <w:sz w:val="32"/>
          <w:szCs w:val="32"/>
          <w:highlight w:val="none"/>
          <w:lang w:val="en-US" w:eastAsia="zh-CN"/>
        </w:rPr>
        <w:t>3.6</w:t>
      </w:r>
      <w:r>
        <w:rPr>
          <w:rFonts w:ascii="仿宋" w:hAnsi="仿宋" w:eastAsia="仿宋" w:cs="仿宋"/>
          <w:kern w:val="0"/>
          <w:sz w:val="32"/>
          <w:szCs w:val="32"/>
          <w:highlight w:val="none"/>
        </w:rPr>
        <w:t>分）</w:t>
      </w:r>
    </w:p>
    <w:p w14:paraId="1F907A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实际完成率（满分9.0分，实得</w:t>
      </w:r>
      <w:r>
        <w:rPr>
          <w:rFonts w:hint="eastAsia" w:ascii="仿宋" w:hAnsi="仿宋" w:eastAsia="仿宋" w:cs="仿宋"/>
          <w:kern w:val="0"/>
          <w:sz w:val="32"/>
          <w:szCs w:val="32"/>
          <w:highlight w:val="none"/>
          <w:lang w:val="en-US" w:eastAsia="zh-CN"/>
        </w:rPr>
        <w:t>3.6</w:t>
      </w:r>
      <w:r>
        <w:rPr>
          <w:rFonts w:ascii="仿宋" w:hAnsi="仿宋" w:eastAsia="仿宋" w:cs="仿宋"/>
          <w:kern w:val="0"/>
          <w:sz w:val="32"/>
          <w:szCs w:val="32"/>
          <w:highlight w:val="none"/>
        </w:rPr>
        <w:t>分）</w:t>
      </w:r>
    </w:p>
    <w:p w14:paraId="654F91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为了核实项目的实际完成情况，评价小组查看了农村生活垃圾实现无害化处置项目，每日清运全县8个镇街116个行政村生活垃圾至冀东生活垃圾焚烧处理，</w:t>
      </w:r>
      <w:r>
        <w:rPr>
          <w:rFonts w:hint="eastAsia" w:ascii="仿宋" w:hAnsi="仿宋" w:eastAsia="仿宋" w:cs="仿宋"/>
          <w:kern w:val="0"/>
          <w:sz w:val="32"/>
          <w:szCs w:val="32"/>
          <w:highlight w:val="none"/>
          <w:lang w:val="en-US" w:eastAsia="zh-CN"/>
        </w:rPr>
        <w:t>但实际产出数量中，垃圾处理目标为30000吨，实际处理量为23454吨，完成目标数的76%</w:t>
      </w:r>
      <w:r>
        <w:rPr>
          <w:rFonts w:ascii="仿宋" w:hAnsi="仿宋" w:eastAsia="仿宋" w:cs="仿宋"/>
          <w:kern w:val="0"/>
          <w:sz w:val="32"/>
          <w:szCs w:val="32"/>
          <w:highlight w:val="none"/>
        </w:rPr>
        <w:t>。</w:t>
      </w:r>
    </w:p>
    <w:p w14:paraId="2C8708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w:t>
      </w:r>
      <w:r>
        <w:rPr>
          <w:rFonts w:hint="eastAsia" w:ascii="仿宋" w:hAnsi="仿宋" w:eastAsia="仿宋" w:cs="仿宋"/>
          <w:kern w:val="0"/>
          <w:sz w:val="32"/>
          <w:szCs w:val="32"/>
          <w:highlight w:val="none"/>
          <w:lang w:val="en-US" w:eastAsia="zh-CN"/>
        </w:rPr>
        <w:t>5.4</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3.6</w:t>
      </w:r>
      <w:r>
        <w:rPr>
          <w:rFonts w:ascii="仿宋" w:hAnsi="仿宋" w:eastAsia="仿宋" w:cs="仿宋"/>
          <w:kern w:val="0"/>
          <w:sz w:val="32"/>
          <w:szCs w:val="32"/>
          <w:highlight w:val="none"/>
        </w:rPr>
        <w:t>分。</w:t>
      </w:r>
    </w:p>
    <w:p w14:paraId="3B5A6B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2、质量指标（满分9.0分，实得9.0分）</w:t>
      </w:r>
    </w:p>
    <w:p w14:paraId="2A9889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质量合格率（满分9.0分，实得9.0分）</w:t>
      </w:r>
    </w:p>
    <w:p w14:paraId="1DE332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项目对全县8个镇街116个行政村生活垃圾</w:t>
      </w:r>
      <w:r>
        <w:rPr>
          <w:rFonts w:hint="eastAsia" w:ascii="仿宋" w:hAnsi="仿宋" w:eastAsia="仿宋" w:cs="仿宋"/>
          <w:kern w:val="0"/>
          <w:sz w:val="32"/>
          <w:szCs w:val="32"/>
          <w:highlight w:val="none"/>
          <w:lang w:val="en-US" w:eastAsia="zh-CN"/>
        </w:rPr>
        <w:t>由</w:t>
      </w:r>
      <w:r>
        <w:rPr>
          <w:rFonts w:ascii="仿宋" w:hAnsi="仿宋" w:eastAsia="仿宋" w:cs="仿宋"/>
          <w:kern w:val="0"/>
          <w:sz w:val="32"/>
          <w:szCs w:val="32"/>
          <w:highlight w:val="none"/>
        </w:rPr>
        <w:t>冀东生活垃圾焚烧处理，日结日清，验收合格。</w:t>
      </w:r>
    </w:p>
    <w:p w14:paraId="50C78D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4A3D7B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3、时效指标（满分9.0分，实得</w:t>
      </w:r>
      <w:r>
        <w:rPr>
          <w:rFonts w:hint="eastAsia" w:ascii="仿宋" w:hAnsi="仿宋" w:eastAsia="仿宋" w:cs="仿宋"/>
          <w:kern w:val="0"/>
          <w:sz w:val="32"/>
          <w:szCs w:val="32"/>
          <w:highlight w:val="none"/>
          <w:lang w:val="en-US" w:eastAsia="zh-CN"/>
        </w:rPr>
        <w:t>6.19</w:t>
      </w:r>
      <w:r>
        <w:rPr>
          <w:rFonts w:ascii="仿宋" w:hAnsi="仿宋" w:eastAsia="仿宋" w:cs="仿宋"/>
          <w:kern w:val="0"/>
          <w:sz w:val="32"/>
          <w:szCs w:val="32"/>
          <w:highlight w:val="none"/>
        </w:rPr>
        <w:t>分）</w:t>
      </w:r>
    </w:p>
    <w:p w14:paraId="02513E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完成及时率（满分9.0分，实得</w:t>
      </w:r>
      <w:r>
        <w:rPr>
          <w:rFonts w:hint="eastAsia" w:ascii="仿宋" w:hAnsi="仿宋" w:eastAsia="仿宋" w:cs="仿宋"/>
          <w:kern w:val="0"/>
          <w:sz w:val="32"/>
          <w:szCs w:val="32"/>
          <w:highlight w:val="none"/>
          <w:lang w:val="en-US" w:eastAsia="zh-CN"/>
        </w:rPr>
        <w:t>6.19</w:t>
      </w:r>
      <w:r>
        <w:rPr>
          <w:rFonts w:ascii="仿宋" w:hAnsi="仿宋" w:eastAsia="仿宋" w:cs="仿宋"/>
          <w:kern w:val="0"/>
          <w:sz w:val="32"/>
          <w:szCs w:val="32"/>
          <w:highlight w:val="none"/>
        </w:rPr>
        <w:t>分）</w:t>
      </w:r>
    </w:p>
    <w:p w14:paraId="140EBB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农村生活垃圾日产日清，</w:t>
      </w:r>
      <w:r>
        <w:rPr>
          <w:rFonts w:hint="eastAsia" w:ascii="仿宋" w:hAnsi="仿宋" w:eastAsia="仿宋" w:cs="仿宋"/>
          <w:kern w:val="0"/>
          <w:sz w:val="32"/>
          <w:szCs w:val="32"/>
          <w:highlight w:val="none"/>
          <w:lang w:val="en-US" w:eastAsia="zh-CN"/>
        </w:rPr>
        <w:t>计划日期为2023年1月1日至2023年12月31日，但项目于11月15日停产，完成及时率为87.5%</w:t>
      </w:r>
      <w:r>
        <w:rPr>
          <w:rFonts w:ascii="仿宋" w:hAnsi="仿宋" w:eastAsia="仿宋" w:cs="仿宋"/>
          <w:kern w:val="0"/>
          <w:sz w:val="32"/>
          <w:szCs w:val="32"/>
          <w:highlight w:val="none"/>
        </w:rPr>
        <w:t>。</w:t>
      </w:r>
    </w:p>
    <w:p w14:paraId="56A075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w:t>
      </w:r>
      <w:r>
        <w:rPr>
          <w:rFonts w:hint="eastAsia" w:ascii="仿宋" w:hAnsi="仿宋" w:eastAsia="仿宋" w:cs="仿宋"/>
          <w:kern w:val="0"/>
          <w:sz w:val="32"/>
          <w:szCs w:val="32"/>
          <w:highlight w:val="none"/>
          <w:lang w:val="en-US" w:eastAsia="zh-CN"/>
        </w:rPr>
        <w:t>2.81</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6.19</w:t>
      </w:r>
      <w:r>
        <w:rPr>
          <w:rFonts w:ascii="仿宋" w:hAnsi="仿宋" w:eastAsia="仿宋" w:cs="仿宋"/>
          <w:kern w:val="0"/>
          <w:sz w:val="32"/>
          <w:szCs w:val="32"/>
          <w:highlight w:val="none"/>
        </w:rPr>
        <w:t>分。</w:t>
      </w:r>
    </w:p>
    <w:p w14:paraId="2E2D77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4、成本指标（满分9.0分，实得9.0分）</w:t>
      </w:r>
    </w:p>
    <w:p w14:paraId="2ED2BF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成本节约率（满分9.0分，实得9.0分）</w:t>
      </w:r>
    </w:p>
    <w:p w14:paraId="5F4EE3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项目实际到位资金为100万元，实际支出资金为100万元，成本节约率0%。</w:t>
      </w:r>
    </w:p>
    <w:p w14:paraId="2BF502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305DD07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2" w:name="_Toc24350"/>
      <w:r>
        <w:rPr>
          <w:rFonts w:hint="eastAsia" w:ascii="楷体_GB2312" w:hAnsi="楷体_GB2312" w:eastAsia="楷体_GB2312" w:cs="楷体_GB2312"/>
          <w:b/>
          <w:bCs/>
          <w:kern w:val="0"/>
          <w:sz w:val="32"/>
          <w:szCs w:val="32"/>
          <w:highlight w:val="none"/>
        </w:rPr>
        <w:t>（四）效益指标（满分24.0分，实得2</w:t>
      </w:r>
      <w:r>
        <w:rPr>
          <w:rFonts w:hint="eastAsia" w:ascii="楷体_GB2312" w:hAnsi="楷体_GB2312" w:eastAsia="楷体_GB2312" w:cs="楷体_GB2312"/>
          <w:b/>
          <w:bCs/>
          <w:kern w:val="0"/>
          <w:sz w:val="32"/>
          <w:szCs w:val="32"/>
          <w:highlight w:val="none"/>
          <w:lang w:val="en-US" w:eastAsia="zh-CN"/>
        </w:rPr>
        <w:t>2</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5</w:t>
      </w:r>
      <w:r>
        <w:rPr>
          <w:rFonts w:hint="eastAsia" w:ascii="楷体_GB2312" w:hAnsi="楷体_GB2312" w:eastAsia="楷体_GB2312" w:cs="楷体_GB2312"/>
          <w:b/>
          <w:bCs/>
          <w:kern w:val="0"/>
          <w:sz w:val="32"/>
          <w:szCs w:val="32"/>
          <w:highlight w:val="none"/>
        </w:rPr>
        <w:t>分）</w:t>
      </w:r>
      <w:bookmarkEnd w:id="72"/>
    </w:p>
    <w:p w14:paraId="3103A5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1、社会效益（满分6.0分，实得6.0分）</w:t>
      </w:r>
    </w:p>
    <w:p w14:paraId="32C389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（1）改善农村人居环境（满分6.0分，实得6.0分）</w:t>
      </w:r>
    </w:p>
    <w:p w14:paraId="0FB5B8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项目的实施能够有效改善生态环境质量，降低疾病传播风险，提升公众健康水平，增强社会环保意识，提升人居环境质量。</w:t>
      </w:r>
    </w:p>
    <w:p w14:paraId="49E5D2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根据评分标准，本指标满分6.0分，扣0.0分，评价得6.0分。</w:t>
      </w:r>
    </w:p>
    <w:p w14:paraId="0DB120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2、生态效益（满分6.0分，实得</w:t>
      </w:r>
      <w:r>
        <w:rPr>
          <w:rFonts w:hint="eastAsia" w:ascii="仿宋" w:hAnsi="仿宋" w:eastAsia="仿宋" w:cs="仿宋"/>
          <w:kern w:val="0"/>
          <w:sz w:val="32"/>
          <w:szCs w:val="32"/>
          <w:highlight w:val="none"/>
          <w:lang w:val="en-US" w:eastAsia="zh-CN"/>
        </w:rPr>
        <w:t>4.5</w:t>
      </w:r>
      <w:r>
        <w:rPr>
          <w:rFonts w:ascii="仿宋" w:hAnsi="仿宋" w:eastAsia="仿宋" w:cs="仿宋"/>
          <w:kern w:val="0"/>
          <w:sz w:val="32"/>
          <w:szCs w:val="32"/>
          <w:highlight w:val="none"/>
        </w:rPr>
        <w:t>分）</w:t>
      </w:r>
    </w:p>
    <w:p w14:paraId="468EE1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（1）保护生态环境（满分6.0分，实得</w:t>
      </w:r>
      <w:r>
        <w:rPr>
          <w:rFonts w:hint="eastAsia" w:ascii="仿宋" w:hAnsi="仿宋" w:eastAsia="仿宋" w:cs="仿宋"/>
          <w:kern w:val="0"/>
          <w:sz w:val="32"/>
          <w:szCs w:val="32"/>
          <w:highlight w:val="none"/>
          <w:lang w:val="en-US" w:eastAsia="zh-CN"/>
        </w:rPr>
        <w:t>4.5</w:t>
      </w:r>
      <w:r>
        <w:rPr>
          <w:rFonts w:ascii="仿宋" w:hAnsi="仿宋" w:eastAsia="仿宋" w:cs="仿宋"/>
          <w:kern w:val="0"/>
          <w:sz w:val="32"/>
          <w:szCs w:val="32"/>
          <w:highlight w:val="none"/>
        </w:rPr>
        <w:t>分）</w:t>
      </w:r>
    </w:p>
    <w:p w14:paraId="41795F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rPr>
      </w:pPr>
      <w:r>
        <w:rPr>
          <w:rFonts w:ascii="仿宋" w:hAnsi="仿宋" w:eastAsia="仿宋" w:cs="仿宋"/>
          <w:kern w:val="0"/>
          <w:sz w:val="32"/>
          <w:szCs w:val="32"/>
          <w:highlight w:val="none"/>
        </w:rPr>
        <w:t>项目的实施能提高垃圾处理效率，减少垃圾处理过程中对环境的影响，改善农村公共卫生状况，保护农村生态环境。</w:t>
      </w:r>
      <w:r>
        <w:rPr>
          <w:rFonts w:hint="eastAsia" w:ascii="仿宋" w:hAnsi="仿宋" w:eastAsia="仿宋" w:cs="仿宋"/>
          <w:kern w:val="0"/>
          <w:sz w:val="32"/>
          <w:szCs w:val="32"/>
          <w:highlight w:val="none"/>
          <w:lang w:val="en-US" w:eastAsia="zh-CN"/>
        </w:rPr>
        <w:t>但项目于11月15日停产，未及时处理垃圾，会对环境产生不利影响。</w:t>
      </w:r>
    </w:p>
    <w:p w14:paraId="1760C8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根据评分标准，本指标满分6.0分，扣</w:t>
      </w:r>
      <w:r>
        <w:rPr>
          <w:rFonts w:hint="eastAsia" w:ascii="仿宋" w:hAnsi="仿宋" w:eastAsia="仿宋" w:cs="仿宋"/>
          <w:kern w:val="0"/>
          <w:sz w:val="32"/>
          <w:szCs w:val="32"/>
          <w:highlight w:val="none"/>
          <w:lang w:val="en-US" w:eastAsia="zh-CN"/>
        </w:rPr>
        <w:t>1.5</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4.5</w:t>
      </w:r>
      <w:r>
        <w:rPr>
          <w:rFonts w:ascii="仿宋" w:hAnsi="仿宋" w:eastAsia="仿宋" w:cs="仿宋"/>
          <w:kern w:val="0"/>
          <w:sz w:val="32"/>
          <w:szCs w:val="32"/>
          <w:highlight w:val="none"/>
        </w:rPr>
        <w:t>分。</w:t>
      </w:r>
    </w:p>
    <w:p w14:paraId="4EDD37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3、可持续影响（满分6.0分，实得6.0分）</w:t>
      </w:r>
    </w:p>
    <w:p w14:paraId="14A9CE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（1）推动</w:t>
      </w:r>
      <w:r>
        <w:rPr>
          <w:rFonts w:hint="eastAsia" w:ascii="仿宋" w:hAnsi="仿宋" w:eastAsia="仿宋" w:cs="仿宋"/>
          <w:kern w:val="0"/>
          <w:sz w:val="32"/>
          <w:szCs w:val="32"/>
          <w:highlight w:val="none"/>
          <w:lang w:val="en-US" w:eastAsia="zh-CN"/>
        </w:rPr>
        <w:t>城乡</w:t>
      </w:r>
      <w:r>
        <w:rPr>
          <w:rFonts w:ascii="仿宋" w:hAnsi="仿宋" w:eastAsia="仿宋" w:cs="仿宋"/>
          <w:kern w:val="0"/>
          <w:sz w:val="32"/>
          <w:szCs w:val="32"/>
          <w:highlight w:val="none"/>
        </w:rPr>
        <w:t>可持续发展（满分6.0分，实得6.0分）</w:t>
      </w:r>
    </w:p>
    <w:p w14:paraId="4E62E0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项目的实施能改善生态环境，推动</w:t>
      </w:r>
      <w:r>
        <w:rPr>
          <w:rFonts w:hint="eastAsia" w:ascii="仿宋" w:hAnsi="仿宋" w:eastAsia="仿宋" w:cs="仿宋"/>
          <w:kern w:val="0"/>
          <w:sz w:val="32"/>
          <w:szCs w:val="32"/>
          <w:highlight w:val="none"/>
          <w:lang w:val="en-US" w:eastAsia="zh-CN"/>
        </w:rPr>
        <w:t>城乡</w:t>
      </w:r>
      <w:r>
        <w:rPr>
          <w:rFonts w:ascii="仿宋" w:hAnsi="仿宋" w:eastAsia="仿宋" w:cs="仿宋"/>
          <w:kern w:val="0"/>
          <w:sz w:val="32"/>
          <w:szCs w:val="32"/>
          <w:highlight w:val="none"/>
        </w:rPr>
        <w:t>可持续发展。</w:t>
      </w:r>
    </w:p>
    <w:p w14:paraId="238596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根据评分标准，本指标满分6.0分，扣0.0分，评价得6.0分。</w:t>
      </w:r>
    </w:p>
    <w:p w14:paraId="2A6960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4、满意度（满分6.0分，实得6.0分）</w:t>
      </w:r>
    </w:p>
    <w:p w14:paraId="09FA3A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（1）受益群众满意度（满分6.0分，实得6.0分）</w:t>
      </w:r>
    </w:p>
    <w:p w14:paraId="4FDF8D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评价组机构通过抽样共计发放47份问卷，社会公众对项目的整体评价为非常满意。满意度调查情况详见《调查问卷分析》。</w:t>
      </w:r>
    </w:p>
    <w:p w14:paraId="3D1028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highlight w:val="none"/>
          <w:lang w:eastAsia="zh-CN"/>
        </w:rPr>
      </w:pPr>
      <w:r>
        <w:rPr>
          <w:rFonts w:ascii="仿宋" w:hAnsi="仿宋" w:eastAsia="仿宋" w:cs="仿宋"/>
          <w:kern w:val="0"/>
          <w:sz w:val="32"/>
          <w:szCs w:val="32"/>
          <w:highlight w:val="none"/>
        </w:rPr>
        <w:t>根据评分标准，本指标满分6.0分，扣0.0分，评价得6.0分</w:t>
      </w:r>
      <w:r>
        <w:rPr>
          <w:rFonts w:hint="eastAsia" w:ascii="仿宋" w:hAnsi="仿宋" w:eastAsia="仿宋" w:cs="仿宋"/>
          <w:kern w:val="0"/>
          <w:sz w:val="32"/>
          <w:szCs w:val="32"/>
          <w:highlight w:val="none"/>
          <w:lang w:eastAsia="zh-CN"/>
        </w:rPr>
        <w:t>。</w:t>
      </w:r>
    </w:p>
    <w:p w14:paraId="6DBE69A9">
      <w:pPr>
        <w:spacing w:before="104" w:line="600" w:lineRule="exact"/>
        <w:ind w:firstLine="672"/>
        <w:outlineLvl w:val="0"/>
        <w:rPr>
          <w:rFonts w:ascii="黑体" w:hAnsi="黑体" w:eastAsia="黑体" w:cs="黑体"/>
          <w:spacing w:val="-2"/>
          <w:sz w:val="32"/>
          <w:szCs w:val="32"/>
          <w:highlight w:val="none"/>
        </w:rPr>
      </w:pPr>
      <w:bookmarkStart w:id="73" w:name="_Toc7885"/>
      <w:r>
        <w:rPr>
          <w:rFonts w:hint="eastAsia" w:ascii="黑体" w:hAnsi="黑体" w:eastAsia="黑体" w:cs="黑体"/>
          <w:spacing w:val="-2"/>
          <w:sz w:val="32"/>
          <w:szCs w:val="32"/>
          <w:highlight w:val="none"/>
          <w:lang w:val="en-US" w:eastAsia="zh-CN"/>
        </w:rPr>
        <w:t>五</w:t>
      </w:r>
      <w:r>
        <w:rPr>
          <w:rFonts w:hint="eastAsia" w:ascii="黑体" w:hAnsi="黑体" w:eastAsia="黑体" w:cs="黑体"/>
          <w:spacing w:val="-2"/>
          <w:sz w:val="32"/>
          <w:szCs w:val="32"/>
          <w:highlight w:val="none"/>
        </w:rPr>
        <w:t>、存在的问题</w:t>
      </w:r>
      <w:bookmarkEnd w:id="73"/>
    </w:p>
    <w:p w14:paraId="7B96B9A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4" w:name="_Toc31072"/>
      <w:r>
        <w:rPr>
          <w:rFonts w:hint="eastAsia" w:ascii="楷体_GB2312" w:hAnsi="楷体_GB2312" w:eastAsia="楷体_GB2312" w:cs="楷体_GB2312"/>
          <w:b/>
          <w:bCs/>
          <w:kern w:val="0"/>
          <w:sz w:val="32"/>
          <w:szCs w:val="32"/>
          <w:highlight w:val="none"/>
        </w:rPr>
        <w:t>（一）绩效指标不够明确</w:t>
      </w:r>
      <w:bookmarkEnd w:id="74"/>
    </w:p>
    <w:p w14:paraId="48AFD0CE">
      <w:pPr>
        <w:adjustRightInd w:val="0"/>
        <w:snapToGrid w:val="0"/>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设置的质量指标、生态效益指标不清晰且不可衡量。如：设置的质量指标为生活垃圾无害化处理率1，资金使用合格率1；生态效益指标为农村生活垃圾无害化处理，以上设置的产出指标和效益指标与项目的产出、效益不相关联。</w:t>
      </w:r>
    </w:p>
    <w:p w14:paraId="26BD517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val="en-US" w:eastAsia="zh-CN"/>
        </w:rPr>
      </w:pPr>
      <w:bookmarkStart w:id="75" w:name="_Toc6710"/>
      <w:r>
        <w:rPr>
          <w:rFonts w:hint="eastAsia" w:ascii="楷体_GB2312" w:hAnsi="楷体_GB2312" w:eastAsia="楷体_GB2312" w:cs="楷体_GB2312"/>
          <w:b/>
          <w:bCs/>
          <w:kern w:val="0"/>
          <w:sz w:val="32"/>
          <w:szCs w:val="32"/>
          <w:highlight w:val="none"/>
          <w:lang w:val="en-US" w:eastAsia="zh-CN"/>
        </w:rPr>
        <w:t>（二）项目采购程序不规范</w:t>
      </w:r>
      <w:bookmarkEnd w:id="75"/>
    </w:p>
    <w:p w14:paraId="3C612F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highlight w:val="none"/>
          <w:lang w:val="en-US" w:eastAsia="zh-CN" w:bidi="ar-SA"/>
        </w:rPr>
      </w:pPr>
      <w:r>
        <w:rPr>
          <w:rFonts w:ascii="仿宋" w:hAnsi="仿宋" w:eastAsia="仿宋" w:cs="仿宋"/>
          <w:kern w:val="0"/>
          <w:sz w:val="32"/>
          <w:szCs w:val="32"/>
          <w:highlight w:val="none"/>
        </w:rPr>
        <w:t>扶风县住房和城乡建设局委托陕西正邦招标有限责任公司对扶风县利用水泥窑协同处置垃圾污泥项目进行公开招标，项目采购</w:t>
      </w:r>
      <w:r>
        <w:rPr>
          <w:rFonts w:hint="eastAsia" w:ascii="仿宋" w:hAnsi="仿宋" w:eastAsia="仿宋" w:cs="仿宋"/>
          <w:kern w:val="0"/>
          <w:sz w:val="32"/>
          <w:szCs w:val="32"/>
          <w:highlight w:val="none"/>
          <w:lang w:val="en-US" w:eastAsia="zh-CN"/>
        </w:rPr>
        <w:t>未单独</w:t>
      </w:r>
      <w:r>
        <w:rPr>
          <w:rFonts w:ascii="仿宋" w:hAnsi="仿宋" w:eastAsia="仿宋" w:cs="仿宋"/>
          <w:kern w:val="0"/>
          <w:sz w:val="32"/>
          <w:szCs w:val="32"/>
          <w:highlight w:val="none"/>
        </w:rPr>
        <w:t>执行</w:t>
      </w:r>
      <w:r>
        <w:rPr>
          <w:rFonts w:hint="eastAsia" w:ascii="仿宋" w:hAnsi="仿宋" w:eastAsia="仿宋" w:cs="仿宋"/>
          <w:kern w:val="0"/>
          <w:sz w:val="32"/>
          <w:szCs w:val="32"/>
          <w:highlight w:val="none"/>
          <w:lang w:val="en-US" w:eastAsia="zh-CN"/>
        </w:rPr>
        <w:t>政府采购</w:t>
      </w:r>
      <w:r>
        <w:rPr>
          <w:rFonts w:ascii="仿宋" w:hAnsi="仿宋" w:eastAsia="仿宋" w:cs="仿宋"/>
          <w:kern w:val="0"/>
          <w:sz w:val="32"/>
          <w:szCs w:val="32"/>
          <w:highlight w:val="none"/>
        </w:rPr>
        <w:t>程序。</w:t>
      </w:r>
    </w:p>
    <w:p w14:paraId="0CBF2EB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val="en-US" w:eastAsia="zh-CN"/>
        </w:rPr>
      </w:pPr>
      <w:bookmarkStart w:id="76" w:name="_Toc28088"/>
      <w:r>
        <w:rPr>
          <w:rFonts w:hint="eastAsia" w:ascii="楷体_GB2312" w:hAnsi="楷体_GB2312" w:eastAsia="楷体_GB2312" w:cs="楷体_GB2312"/>
          <w:b/>
          <w:bCs/>
          <w:kern w:val="0"/>
          <w:sz w:val="32"/>
          <w:szCs w:val="32"/>
          <w:highlight w:val="none"/>
          <w:lang w:val="en-US" w:eastAsia="zh-CN"/>
        </w:rPr>
        <w:t>（三）项目未按时完成</w:t>
      </w:r>
      <w:bookmarkEnd w:id="76"/>
    </w:p>
    <w:p w14:paraId="6D3740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项目垃圾处理目标为30000吨，实际处理量为23454吨，未完成目标数；计划日期为2023年1月1日至2023年12月31日，但项目于11月15日停产，未按时完成</w:t>
      </w:r>
      <w:r>
        <w:rPr>
          <w:rFonts w:ascii="仿宋" w:hAnsi="仿宋" w:eastAsia="仿宋" w:cs="仿宋"/>
          <w:kern w:val="0"/>
          <w:sz w:val="32"/>
          <w:szCs w:val="32"/>
          <w:highlight w:val="none"/>
        </w:rPr>
        <w:t>。</w:t>
      </w:r>
    </w:p>
    <w:p w14:paraId="67F48AFA">
      <w:pPr>
        <w:spacing w:line="600" w:lineRule="exact"/>
        <w:ind w:firstLine="632" w:firstLineChars="200"/>
        <w:outlineLvl w:val="0"/>
        <w:rPr>
          <w:rFonts w:ascii="黑体" w:hAnsi="黑体" w:eastAsia="黑体" w:cs="黑体"/>
          <w:spacing w:val="-2"/>
          <w:sz w:val="32"/>
          <w:szCs w:val="32"/>
          <w:highlight w:val="none"/>
        </w:rPr>
      </w:pPr>
      <w:bookmarkStart w:id="77" w:name="_Toc14865"/>
      <w:r>
        <w:rPr>
          <w:rFonts w:hint="eastAsia" w:ascii="黑体" w:hAnsi="黑体" w:eastAsia="黑体" w:cs="黑体"/>
          <w:spacing w:val="-2"/>
          <w:sz w:val="32"/>
          <w:szCs w:val="32"/>
          <w:highlight w:val="none"/>
          <w:lang w:val="en-US" w:eastAsia="zh-CN"/>
        </w:rPr>
        <w:t>六</w:t>
      </w:r>
      <w:r>
        <w:rPr>
          <w:rFonts w:hint="eastAsia" w:ascii="黑体" w:hAnsi="黑体" w:eastAsia="黑体" w:cs="黑体"/>
          <w:spacing w:val="-2"/>
          <w:sz w:val="32"/>
          <w:szCs w:val="32"/>
          <w:highlight w:val="none"/>
        </w:rPr>
        <w:t>、建议</w:t>
      </w:r>
      <w:bookmarkEnd w:id="77"/>
    </w:p>
    <w:p w14:paraId="4FF5318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val="en-US" w:eastAsia="zh-CN"/>
        </w:rPr>
      </w:pPr>
      <w:bookmarkStart w:id="78" w:name="_Toc1432"/>
      <w:r>
        <w:rPr>
          <w:rFonts w:hint="eastAsia" w:ascii="楷体_GB2312" w:hAnsi="楷体_GB2312" w:eastAsia="楷体_GB2312" w:cs="楷体_GB2312"/>
          <w:b/>
          <w:bCs/>
          <w:kern w:val="0"/>
          <w:sz w:val="32"/>
          <w:szCs w:val="32"/>
          <w:highlight w:val="none"/>
          <w:lang w:val="en-US" w:eastAsia="zh-CN"/>
        </w:rPr>
        <w:t>（一）根据项目实际情况准确设置绩效指标</w:t>
      </w:r>
      <w:bookmarkEnd w:id="78"/>
    </w:p>
    <w:p w14:paraId="4BD6C7E2">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在设置绩效指标时，应当根据《预算绩效评价共性指标体系框架》（财预〔2013〕53号），结合项目实际情况设置清晰且可衡量、切实可行的指标。如：质量指标可设为项目质量合格率，生态效益指标可设为保护农村生态环境等。</w:t>
      </w:r>
    </w:p>
    <w:p w14:paraId="51B7B43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highlight w:val="none"/>
          <w:lang w:val="en-US" w:eastAsia="zh-CN"/>
        </w:rPr>
      </w:pPr>
      <w:bookmarkStart w:id="79" w:name="_Toc16831"/>
      <w:r>
        <w:rPr>
          <w:rFonts w:hint="eastAsia" w:ascii="楷体_GB2312" w:hAnsi="楷体_GB2312" w:eastAsia="楷体_GB2312" w:cs="楷体_GB2312"/>
          <w:b/>
          <w:bCs/>
          <w:kern w:val="0"/>
          <w:sz w:val="32"/>
          <w:szCs w:val="32"/>
          <w:highlight w:val="none"/>
          <w:lang w:val="en-US" w:eastAsia="zh-CN"/>
        </w:rPr>
        <w:t>（二）执行政府采购程序</w:t>
      </w:r>
      <w:bookmarkEnd w:id="79"/>
    </w:p>
    <w:p w14:paraId="51CC0A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项目应单独执行政府采购程序，确保财政预算资金的合理使用。</w:t>
      </w:r>
    </w:p>
    <w:p w14:paraId="2FC2C1D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highlight w:val="none"/>
          <w:lang w:val="en-US" w:eastAsia="zh-CN"/>
        </w:rPr>
      </w:pPr>
      <w:bookmarkStart w:id="80" w:name="_Toc24517"/>
      <w:r>
        <w:rPr>
          <w:rFonts w:hint="eastAsia" w:ascii="楷体_GB2312" w:hAnsi="楷体_GB2312" w:eastAsia="楷体_GB2312" w:cs="楷体_GB2312"/>
          <w:b/>
          <w:bCs/>
          <w:kern w:val="0"/>
          <w:sz w:val="32"/>
          <w:szCs w:val="32"/>
          <w:highlight w:val="none"/>
          <w:lang w:val="en-US" w:eastAsia="zh-CN"/>
        </w:rPr>
        <w:t>（三）按时完成项目内容</w:t>
      </w:r>
      <w:bookmarkEnd w:id="80"/>
    </w:p>
    <w:p w14:paraId="03E0A4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项目实施过程中，实施单位</w:t>
      </w:r>
      <w:r>
        <w:rPr>
          <w:rFonts w:hint="eastAsia" w:ascii="仿宋" w:hAnsi="仿宋" w:eastAsia="仿宋" w:cs="仿宋"/>
          <w:kern w:val="0"/>
          <w:sz w:val="32"/>
          <w:szCs w:val="32"/>
          <w:highlight w:val="none"/>
          <w:lang w:val="en-US" w:eastAsia="zh-CN"/>
        </w:rPr>
        <w:t>应</w:t>
      </w:r>
      <w:r>
        <w:rPr>
          <w:rFonts w:hint="eastAsia" w:ascii="仿宋" w:hAnsi="仿宋" w:eastAsia="仿宋" w:cs="仿宋"/>
          <w:kern w:val="0"/>
          <w:sz w:val="32"/>
          <w:szCs w:val="32"/>
          <w:highlight w:val="none"/>
        </w:rPr>
        <w:t>严格按照计划执行，确保每个阶段、每个任务都能在规定的时间内完成。</w:t>
      </w:r>
    </w:p>
    <w:p w14:paraId="2567DE25">
      <w:pPr>
        <w:spacing w:line="600" w:lineRule="exact"/>
        <w:ind w:left="1598" w:leftChars="304" w:hanging="960" w:hangingChars="300"/>
        <w:outlineLvl w:val="9"/>
        <w:rPr>
          <w:rFonts w:hint="eastAsia" w:ascii="仿宋" w:hAnsi="仿宋" w:eastAsia="仿宋" w:cs="仿宋"/>
          <w:kern w:val="0"/>
          <w:sz w:val="32"/>
          <w:szCs w:val="32"/>
          <w:highlight w:val="none"/>
        </w:rPr>
      </w:pPr>
    </w:p>
    <w:p w14:paraId="516EC888">
      <w:pPr>
        <w:spacing w:line="600" w:lineRule="exact"/>
        <w:ind w:left="1598" w:leftChars="304" w:hanging="960" w:hangingChars="300"/>
        <w:outlineLvl w:val="0"/>
        <w:rPr>
          <w:rFonts w:ascii="仿宋" w:hAnsi="仿宋" w:eastAsia="仿宋" w:cs="仿宋"/>
          <w:kern w:val="0"/>
          <w:sz w:val="32"/>
          <w:szCs w:val="32"/>
          <w:highlight w:val="none"/>
        </w:rPr>
      </w:pPr>
      <w:bookmarkStart w:id="81" w:name="_Toc16944"/>
      <w:r>
        <w:rPr>
          <w:rFonts w:hint="eastAsia" w:ascii="仿宋" w:hAnsi="仿宋" w:eastAsia="仿宋" w:cs="仿宋"/>
          <w:kern w:val="0"/>
          <w:sz w:val="32"/>
          <w:szCs w:val="32"/>
          <w:highlight w:val="none"/>
        </w:rPr>
        <w:t>附</w:t>
      </w:r>
      <w:r>
        <w:rPr>
          <w:rFonts w:hint="eastAsia" w:ascii="仿宋" w:hAnsi="仿宋" w:eastAsia="仿宋" w:cs="仿宋"/>
          <w:kern w:val="0"/>
          <w:sz w:val="32"/>
          <w:szCs w:val="32"/>
          <w:highlight w:val="none"/>
          <w:lang w:val="en-US" w:eastAsia="zh-CN"/>
        </w:rPr>
        <w:t>件</w:t>
      </w:r>
      <w:r>
        <w:rPr>
          <w:rFonts w:hint="eastAsia" w:ascii="仿宋" w:hAnsi="仿宋" w:eastAsia="仿宋" w:cs="仿宋"/>
          <w:kern w:val="0"/>
          <w:sz w:val="32"/>
          <w:szCs w:val="32"/>
          <w:highlight w:val="none"/>
        </w:rPr>
        <w:t>1.项目绩效评价指标体系打分表</w:t>
      </w:r>
      <w:bookmarkEnd w:id="81"/>
    </w:p>
    <w:bookmarkEnd w:id="61"/>
    <w:bookmarkEnd w:id="62"/>
    <w:bookmarkEnd w:id="63"/>
    <w:bookmarkEnd w:id="64"/>
    <w:bookmarkEnd w:id="65"/>
    <w:bookmarkEnd w:id="66"/>
    <w:bookmarkEnd w:id="67"/>
    <w:bookmarkEnd w:id="68"/>
    <w:p w14:paraId="1D1FC273">
      <w:pPr>
        <w:spacing w:line="360" w:lineRule="auto"/>
        <w:rPr>
          <w:rFonts w:ascii="仿宋" w:hAnsi="仿宋" w:eastAsia="仿宋" w:cs="仿宋"/>
          <w:bCs/>
          <w:kern w:val="0"/>
          <w:sz w:val="32"/>
          <w:szCs w:val="32"/>
          <w:highlight w:val="none"/>
        </w:rPr>
      </w:pPr>
    </w:p>
    <w:p w14:paraId="5013CF9B">
      <w:pPr>
        <w:spacing w:line="600" w:lineRule="exact"/>
        <w:ind w:left="197" w:firstLine="361" w:firstLineChars="113"/>
        <w:jc w:val="center"/>
        <w:rPr>
          <w:rFonts w:hint="eastAsia" w:ascii="仿宋" w:hAnsi="仿宋" w:eastAsia="仿宋" w:cs="仿宋"/>
          <w:kern w:val="0"/>
          <w:sz w:val="32"/>
          <w:szCs w:val="32"/>
          <w:highlight w:val="none"/>
          <w:lang w:val="en-US" w:eastAsia="zh-CN"/>
        </w:rPr>
      </w:pPr>
    </w:p>
    <w:p w14:paraId="6210D917">
      <w:pPr>
        <w:spacing w:line="600" w:lineRule="exact"/>
        <w:ind w:left="197" w:firstLine="361" w:firstLineChars="113"/>
        <w:jc w:val="center"/>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扶风县财政局</w:t>
      </w:r>
    </w:p>
    <w:p w14:paraId="1AB5B296">
      <w:pPr>
        <w:spacing w:line="600" w:lineRule="exact"/>
        <w:ind w:left="197" w:firstLine="361" w:firstLineChars="113"/>
        <w:jc w:val="center"/>
        <w:rPr>
          <w:rFonts w:hint="eastAsia" w:ascii="仿宋" w:hAnsi="仿宋" w:eastAsia="仿宋" w:cs="仿宋"/>
          <w:kern w:val="0"/>
          <w:sz w:val="32"/>
          <w:szCs w:val="32"/>
          <w:highlight w:val="none"/>
        </w:rPr>
      </w:pPr>
    </w:p>
    <w:p w14:paraId="369418E5">
      <w:pPr>
        <w:spacing w:line="600" w:lineRule="exact"/>
        <w:ind w:left="197" w:firstLine="361" w:firstLineChars="113"/>
        <w:jc w:val="center"/>
        <w:rPr>
          <w:rFonts w:hint="eastAsia" w:ascii="仿宋" w:hAnsi="仿宋" w:eastAsia="仿宋" w:cs="仿宋"/>
          <w:kern w:val="0"/>
          <w:sz w:val="32"/>
          <w:szCs w:val="32"/>
          <w:highlight w:val="none"/>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highlight w:val="none"/>
        </w:rPr>
        <w:t>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p>
    <w:p w14:paraId="7F3BA710">
      <w:pPr>
        <w:spacing w:line="600" w:lineRule="exact"/>
        <w:jc w:val="both"/>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附件1</w:t>
      </w:r>
    </w:p>
    <w:p w14:paraId="3E71BBFE">
      <w:pPr>
        <w:spacing w:line="600" w:lineRule="exact"/>
        <w:jc w:val="center"/>
        <w:rPr>
          <w:rFonts w:hint="default" w:ascii="仿宋" w:hAnsi="仿宋" w:eastAsia="仿宋" w:cs="仿宋"/>
          <w:b/>
          <w:bCs/>
          <w:kern w:val="0"/>
          <w:sz w:val="40"/>
          <w:szCs w:val="40"/>
          <w:highlight w:val="none"/>
          <w:lang w:val="en-US" w:eastAsia="zh-CN"/>
        </w:rPr>
      </w:pPr>
      <w:r>
        <w:rPr>
          <w:rFonts w:hint="default" w:ascii="仿宋" w:hAnsi="仿宋" w:eastAsia="仿宋" w:cs="仿宋"/>
          <w:b/>
          <w:bCs/>
          <w:kern w:val="0"/>
          <w:sz w:val="40"/>
          <w:szCs w:val="40"/>
          <w:highlight w:val="none"/>
          <w:lang w:val="en-US" w:eastAsia="zh-CN"/>
        </w:rPr>
        <w:t>2023年扶风县农村生活垃圾集中处置费绩效评价指标体系打分表</w:t>
      </w:r>
    </w:p>
    <w:tbl>
      <w:tblPr>
        <w:tblStyle w:val="13"/>
        <w:tblW w:w="13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94"/>
        <w:gridCol w:w="660"/>
        <w:gridCol w:w="720"/>
        <w:gridCol w:w="1005"/>
        <w:gridCol w:w="720"/>
        <w:gridCol w:w="720"/>
        <w:gridCol w:w="5283"/>
        <w:gridCol w:w="1185"/>
        <w:gridCol w:w="990"/>
        <w:gridCol w:w="1275"/>
      </w:tblGrid>
      <w:tr w14:paraId="6223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0B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03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C1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CC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赋分值</w:t>
            </w:r>
          </w:p>
        </w:tc>
        <w:tc>
          <w:tcPr>
            <w:tcW w:w="5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F5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评分标准</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E1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完成情况</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B6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得分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7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一级指标得分</w:t>
            </w:r>
          </w:p>
        </w:tc>
      </w:tr>
      <w:tr w14:paraId="7A84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FB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0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E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4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B4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1A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E8CF">
            <w:pPr>
              <w:jc w:val="center"/>
              <w:rPr>
                <w:rFonts w:hint="eastAsia" w:ascii="宋体" w:hAnsi="宋体" w:eastAsia="宋体" w:cs="宋体"/>
                <w:i w:val="0"/>
                <w:iCs w:val="0"/>
                <w:color w:val="000000"/>
                <w:sz w:val="22"/>
                <w:szCs w:val="22"/>
                <w:highlight w:val="none"/>
                <w:u w:val="none"/>
              </w:rPr>
            </w:pPr>
          </w:p>
        </w:tc>
        <w:tc>
          <w:tcPr>
            <w:tcW w:w="5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D1F8">
            <w:pPr>
              <w:jc w:val="center"/>
              <w:rPr>
                <w:rFonts w:hint="eastAsia" w:ascii="宋体" w:hAnsi="宋体" w:eastAsia="宋体" w:cs="宋体"/>
                <w:i w:val="0"/>
                <w:iCs w:val="0"/>
                <w:color w:val="000000"/>
                <w:sz w:val="22"/>
                <w:szCs w:val="22"/>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CE0A">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0823">
            <w:pPr>
              <w:jc w:val="center"/>
              <w:rPr>
                <w:rFonts w:hint="eastAsia" w:ascii="宋体" w:hAnsi="宋体" w:eastAsia="宋体" w:cs="宋体"/>
                <w:i w:val="0"/>
                <w:iCs w:val="0"/>
                <w:color w:val="000000"/>
                <w:sz w:val="22"/>
                <w:szCs w:val="22"/>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800">
            <w:pPr>
              <w:jc w:val="center"/>
              <w:rPr>
                <w:rFonts w:hint="eastAsia" w:ascii="宋体" w:hAnsi="宋体" w:eastAsia="宋体" w:cs="宋体"/>
                <w:i w:val="0"/>
                <w:iCs w:val="0"/>
                <w:color w:val="000000"/>
                <w:sz w:val="22"/>
                <w:szCs w:val="22"/>
                <w:highlight w:val="none"/>
                <w:u w:val="none"/>
              </w:rPr>
            </w:pPr>
          </w:p>
        </w:tc>
      </w:tr>
      <w:tr w14:paraId="52CB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A5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决策指标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2B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B70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01C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AF8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B4E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D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BD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项目立项是否符合国家法律法规、国民经济发展规划和相关政策；每发现一项不完备的，扣25%分值，扣完为止。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04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5D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E4B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r>
      <w:tr w14:paraId="78F2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BA9E">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E15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12C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16BD0">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707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44F4">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8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07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项目立项是否与部门职责范围相符，属于部门履职所需；每发现一项不完备的，扣25%分值，扣完为止。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E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85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C6DA">
            <w:pPr>
              <w:jc w:val="center"/>
              <w:rPr>
                <w:rFonts w:hint="eastAsia" w:ascii="宋体" w:hAnsi="宋体" w:eastAsia="宋体" w:cs="宋体"/>
                <w:i w:val="0"/>
                <w:iCs w:val="0"/>
                <w:color w:val="000000"/>
                <w:sz w:val="22"/>
                <w:szCs w:val="22"/>
                <w:highlight w:val="none"/>
                <w:u w:val="none"/>
              </w:rPr>
            </w:pPr>
          </w:p>
        </w:tc>
      </w:tr>
      <w:tr w14:paraId="504D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F5A9">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54290">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773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7D25">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BB9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69537">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4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C6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项目立项是否符合行业发展规划和政策要求；每发现一项不完备的，扣25%分值，扣完为止。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F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0D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2787">
            <w:pPr>
              <w:jc w:val="center"/>
              <w:rPr>
                <w:rFonts w:hint="eastAsia" w:ascii="宋体" w:hAnsi="宋体" w:eastAsia="宋体" w:cs="宋体"/>
                <w:i w:val="0"/>
                <w:iCs w:val="0"/>
                <w:color w:val="000000"/>
                <w:sz w:val="22"/>
                <w:szCs w:val="22"/>
                <w:highlight w:val="none"/>
                <w:u w:val="none"/>
              </w:rPr>
            </w:pPr>
          </w:p>
        </w:tc>
      </w:tr>
      <w:tr w14:paraId="17AD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AF361">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403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8EB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28A5">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73A2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F57E">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9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02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项目是否属于公共财政支持范围，是否符合中央、地方事权支出责任划分原则；每发现一项不完备的，扣25%分值，扣完为止。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5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04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2437">
            <w:pPr>
              <w:jc w:val="center"/>
              <w:rPr>
                <w:rFonts w:hint="eastAsia" w:ascii="宋体" w:hAnsi="宋体" w:eastAsia="宋体" w:cs="宋体"/>
                <w:i w:val="0"/>
                <w:iCs w:val="0"/>
                <w:color w:val="000000"/>
                <w:sz w:val="22"/>
                <w:szCs w:val="22"/>
                <w:highlight w:val="none"/>
                <w:u w:val="none"/>
              </w:rPr>
            </w:pPr>
          </w:p>
        </w:tc>
      </w:tr>
      <w:tr w14:paraId="73FD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0CFC">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FEF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406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5405">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EAF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0CDA">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1A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9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项目是否未与相关部门同类项目或部门内部相关项目重复。每发现一项不完备的，扣25%分值，扣完为止。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C6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5A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55543">
            <w:pPr>
              <w:jc w:val="center"/>
              <w:rPr>
                <w:rFonts w:hint="eastAsia" w:ascii="宋体" w:hAnsi="宋体" w:eastAsia="宋体" w:cs="宋体"/>
                <w:i w:val="0"/>
                <w:iCs w:val="0"/>
                <w:color w:val="000000"/>
                <w:sz w:val="22"/>
                <w:szCs w:val="22"/>
                <w:highlight w:val="none"/>
                <w:u w:val="none"/>
              </w:rPr>
            </w:pPr>
          </w:p>
        </w:tc>
      </w:tr>
      <w:tr w14:paraId="352F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20FB5">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771B">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1C3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60F8">
            <w:pPr>
              <w:jc w:val="center"/>
              <w:rPr>
                <w:rFonts w:hint="eastAsia" w:ascii="宋体" w:hAnsi="宋体" w:eastAsia="宋体" w:cs="宋体"/>
                <w:i w:val="0"/>
                <w:iCs w:val="0"/>
                <w:color w:val="000000"/>
                <w:sz w:val="22"/>
                <w:szCs w:val="22"/>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76D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AD4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81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6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项目是否按照规定的程序申请设立；每发现一项不完备的，扣25%分值，扣完为止。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A6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B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B2B0">
            <w:pPr>
              <w:jc w:val="center"/>
              <w:rPr>
                <w:rFonts w:hint="eastAsia" w:ascii="宋体" w:hAnsi="宋体" w:eastAsia="宋体" w:cs="宋体"/>
                <w:i w:val="0"/>
                <w:iCs w:val="0"/>
                <w:color w:val="000000"/>
                <w:sz w:val="22"/>
                <w:szCs w:val="22"/>
                <w:highlight w:val="none"/>
                <w:u w:val="none"/>
              </w:rPr>
            </w:pPr>
          </w:p>
        </w:tc>
      </w:tr>
      <w:tr w14:paraId="530C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12BE">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A86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91F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6E21">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FBD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506D">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43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76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审批文件、材料是否符合相关要求；每发现一项不完备的，扣25%分值，扣完为止。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7B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0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5BF7">
            <w:pPr>
              <w:jc w:val="center"/>
              <w:rPr>
                <w:rFonts w:hint="eastAsia" w:ascii="宋体" w:hAnsi="宋体" w:eastAsia="宋体" w:cs="宋体"/>
                <w:i w:val="0"/>
                <w:iCs w:val="0"/>
                <w:color w:val="000000"/>
                <w:sz w:val="22"/>
                <w:szCs w:val="22"/>
                <w:highlight w:val="none"/>
                <w:u w:val="none"/>
              </w:rPr>
            </w:pPr>
          </w:p>
        </w:tc>
      </w:tr>
      <w:tr w14:paraId="5F56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FDD5">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047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0972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C616F">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C37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A63A">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E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3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事前是否已经过必要的可行性研究、专家论证、风险评估、绩效评估、集体决策。每发现一项不完备的，扣25%分值，扣完为止。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4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CB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D1E5">
            <w:pPr>
              <w:jc w:val="center"/>
              <w:rPr>
                <w:rFonts w:hint="eastAsia" w:ascii="宋体" w:hAnsi="宋体" w:eastAsia="宋体" w:cs="宋体"/>
                <w:i w:val="0"/>
                <w:iCs w:val="0"/>
                <w:color w:val="000000"/>
                <w:sz w:val="22"/>
                <w:szCs w:val="22"/>
                <w:highlight w:val="none"/>
                <w:u w:val="none"/>
              </w:rPr>
            </w:pPr>
          </w:p>
        </w:tc>
      </w:tr>
      <w:tr w14:paraId="5E17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3047">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F99F">
            <w:pPr>
              <w:jc w:val="center"/>
              <w:rPr>
                <w:rFonts w:hint="eastAsia" w:ascii="宋体" w:hAnsi="宋体" w:eastAsia="宋体" w:cs="宋体"/>
                <w:i w:val="0"/>
                <w:iCs w:val="0"/>
                <w:color w:val="000000"/>
                <w:sz w:val="22"/>
                <w:szCs w:val="22"/>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9CD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931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EE0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95F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D8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D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项目是否有绩效目标；每发现一项不完备的，扣25%分值，扣完为止。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04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5C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A121E">
            <w:pPr>
              <w:jc w:val="center"/>
              <w:rPr>
                <w:rFonts w:hint="eastAsia" w:ascii="宋体" w:hAnsi="宋体" w:eastAsia="宋体" w:cs="宋体"/>
                <w:i w:val="0"/>
                <w:iCs w:val="0"/>
                <w:color w:val="000000"/>
                <w:sz w:val="22"/>
                <w:szCs w:val="22"/>
                <w:highlight w:val="none"/>
                <w:u w:val="none"/>
              </w:rPr>
            </w:pPr>
          </w:p>
        </w:tc>
      </w:tr>
      <w:tr w14:paraId="5C9D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A627E">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A820">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0952">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FFA8C">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A99C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6F6D">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91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A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项目绩效目标与实际工作内容是否具有相关性；每发现一项不完备的，扣25%分值，扣完为止。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3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E7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8CA7">
            <w:pPr>
              <w:jc w:val="center"/>
              <w:rPr>
                <w:rFonts w:hint="eastAsia" w:ascii="宋体" w:hAnsi="宋体" w:eastAsia="宋体" w:cs="宋体"/>
                <w:i w:val="0"/>
                <w:iCs w:val="0"/>
                <w:color w:val="000000"/>
                <w:sz w:val="22"/>
                <w:szCs w:val="22"/>
                <w:highlight w:val="none"/>
                <w:u w:val="none"/>
              </w:rPr>
            </w:pPr>
          </w:p>
        </w:tc>
      </w:tr>
      <w:tr w14:paraId="0698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C254">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62A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A340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79FA">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81DD">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E923">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A4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E5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项目预期产出效益和效果是否符合正常的业绩水平；每发现一项不完备的，扣25%分值，扣完为止。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07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E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EFEEB">
            <w:pPr>
              <w:jc w:val="center"/>
              <w:rPr>
                <w:rFonts w:hint="eastAsia" w:ascii="宋体" w:hAnsi="宋体" w:eastAsia="宋体" w:cs="宋体"/>
                <w:i w:val="0"/>
                <w:iCs w:val="0"/>
                <w:color w:val="000000"/>
                <w:sz w:val="22"/>
                <w:szCs w:val="22"/>
                <w:highlight w:val="none"/>
                <w:u w:val="none"/>
              </w:rPr>
            </w:pPr>
          </w:p>
        </w:tc>
      </w:tr>
      <w:tr w14:paraId="5FC4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3F99">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E28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533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82F64">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9DA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BE61">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E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B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是否与预算确定的项目投资额或资金量相匹配。每发现一项不完备的，扣25%分值，扣完为止。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2B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D9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F9D6">
            <w:pPr>
              <w:jc w:val="center"/>
              <w:rPr>
                <w:rFonts w:hint="eastAsia" w:ascii="宋体" w:hAnsi="宋体" w:eastAsia="宋体" w:cs="宋体"/>
                <w:i w:val="0"/>
                <w:iCs w:val="0"/>
                <w:color w:val="000000"/>
                <w:sz w:val="22"/>
                <w:szCs w:val="22"/>
                <w:highlight w:val="none"/>
                <w:u w:val="none"/>
              </w:rPr>
            </w:pPr>
          </w:p>
        </w:tc>
      </w:tr>
      <w:tr w14:paraId="64BD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7EDB">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13C5B">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28BD">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159B">
            <w:pPr>
              <w:jc w:val="center"/>
              <w:rPr>
                <w:rFonts w:hint="eastAsia" w:ascii="宋体" w:hAnsi="宋体" w:eastAsia="宋体" w:cs="宋体"/>
                <w:i w:val="0"/>
                <w:iCs w:val="0"/>
                <w:color w:val="000000"/>
                <w:sz w:val="22"/>
                <w:szCs w:val="22"/>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F28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1F1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B8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3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是否将项目绩效目标细化分解为具体的绩效指标；每发现一项不完备的，扣25%分值，扣完为止。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52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6B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2309">
            <w:pPr>
              <w:jc w:val="center"/>
              <w:rPr>
                <w:rFonts w:hint="eastAsia" w:ascii="宋体" w:hAnsi="宋体" w:eastAsia="宋体" w:cs="宋体"/>
                <w:i w:val="0"/>
                <w:iCs w:val="0"/>
                <w:color w:val="000000"/>
                <w:sz w:val="22"/>
                <w:szCs w:val="22"/>
                <w:highlight w:val="none"/>
                <w:u w:val="none"/>
              </w:rPr>
            </w:pPr>
          </w:p>
        </w:tc>
      </w:tr>
      <w:tr w14:paraId="4C18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1EA86">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272F">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BF3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F4DC">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D74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CFF7">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D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F3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是否通过清晰、可衡量的指标值予以体现；每发现一项不完备的，扣25%分值，扣完为止。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C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不够明确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1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8553">
            <w:pPr>
              <w:jc w:val="center"/>
              <w:rPr>
                <w:rFonts w:hint="eastAsia" w:ascii="宋体" w:hAnsi="宋体" w:eastAsia="宋体" w:cs="宋体"/>
                <w:i w:val="0"/>
                <w:iCs w:val="0"/>
                <w:color w:val="000000"/>
                <w:sz w:val="22"/>
                <w:szCs w:val="22"/>
                <w:highlight w:val="none"/>
                <w:u w:val="none"/>
              </w:rPr>
            </w:pPr>
          </w:p>
        </w:tc>
      </w:tr>
      <w:tr w14:paraId="0EF4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FF5FD">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4706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F7E9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F7328">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651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6DC2">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B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FE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是否与项目目标任务数或计划数相对应。每发现一项不完备的，扣25%分值，扣完为止。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5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BA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00EC">
            <w:pPr>
              <w:jc w:val="center"/>
              <w:rPr>
                <w:rFonts w:hint="eastAsia" w:ascii="宋体" w:hAnsi="宋体" w:eastAsia="宋体" w:cs="宋体"/>
                <w:i w:val="0"/>
                <w:iCs w:val="0"/>
                <w:color w:val="000000"/>
                <w:sz w:val="22"/>
                <w:szCs w:val="22"/>
                <w:highlight w:val="none"/>
                <w:u w:val="none"/>
              </w:rPr>
            </w:pPr>
          </w:p>
        </w:tc>
      </w:tr>
      <w:tr w14:paraId="3634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4B6E">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995A">
            <w:pPr>
              <w:jc w:val="center"/>
              <w:rPr>
                <w:rFonts w:hint="eastAsia" w:ascii="宋体" w:hAnsi="宋体" w:eastAsia="宋体" w:cs="宋体"/>
                <w:i w:val="0"/>
                <w:iCs w:val="0"/>
                <w:color w:val="000000"/>
                <w:sz w:val="22"/>
                <w:szCs w:val="22"/>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DBB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1D1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C6A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AC4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51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04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预算编制是否经过科学论证；每发现一项不完备的，扣25%分值，扣完为止。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C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1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8F5D">
            <w:pPr>
              <w:jc w:val="center"/>
              <w:rPr>
                <w:rFonts w:hint="eastAsia" w:ascii="宋体" w:hAnsi="宋体" w:eastAsia="宋体" w:cs="宋体"/>
                <w:i w:val="0"/>
                <w:iCs w:val="0"/>
                <w:color w:val="000000"/>
                <w:sz w:val="22"/>
                <w:szCs w:val="22"/>
                <w:highlight w:val="none"/>
                <w:u w:val="none"/>
              </w:rPr>
            </w:pPr>
          </w:p>
        </w:tc>
      </w:tr>
      <w:tr w14:paraId="3E3A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EE4EA">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106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A3E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478F">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F325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C8FA">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38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E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预算内容与项目内容是否匹配；每发现一项不完备的，扣25%分值，扣完为止。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A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E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D384">
            <w:pPr>
              <w:jc w:val="center"/>
              <w:rPr>
                <w:rFonts w:hint="eastAsia" w:ascii="宋体" w:hAnsi="宋体" w:eastAsia="宋体" w:cs="宋体"/>
                <w:i w:val="0"/>
                <w:iCs w:val="0"/>
                <w:color w:val="000000"/>
                <w:sz w:val="22"/>
                <w:szCs w:val="22"/>
                <w:highlight w:val="none"/>
                <w:u w:val="none"/>
              </w:rPr>
            </w:pPr>
          </w:p>
        </w:tc>
      </w:tr>
      <w:tr w14:paraId="3E6E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84913">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AD31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47DCD">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5398">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8B4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11DB">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91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A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预算额度测算依据是否充分，是否按照标准编制；每发现一项不完备的，扣25%分值，扣完为止。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9A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74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2879">
            <w:pPr>
              <w:jc w:val="center"/>
              <w:rPr>
                <w:rFonts w:hint="eastAsia" w:ascii="宋体" w:hAnsi="宋体" w:eastAsia="宋体" w:cs="宋体"/>
                <w:i w:val="0"/>
                <w:iCs w:val="0"/>
                <w:color w:val="000000"/>
                <w:sz w:val="22"/>
                <w:szCs w:val="22"/>
                <w:highlight w:val="none"/>
                <w:u w:val="none"/>
              </w:rPr>
            </w:pPr>
          </w:p>
        </w:tc>
      </w:tr>
      <w:tr w14:paraId="5113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46522">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7C1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290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EB83">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1297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A5CA">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7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7E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预算确定的项目投资额或资金量是否与工作任务相匹配。每发现一项不完备的，扣25%分值，扣完为止。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1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E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7D70A">
            <w:pPr>
              <w:jc w:val="center"/>
              <w:rPr>
                <w:rFonts w:hint="eastAsia" w:ascii="宋体" w:hAnsi="宋体" w:eastAsia="宋体" w:cs="宋体"/>
                <w:i w:val="0"/>
                <w:iCs w:val="0"/>
                <w:color w:val="000000"/>
                <w:sz w:val="22"/>
                <w:szCs w:val="22"/>
                <w:highlight w:val="none"/>
                <w:u w:val="none"/>
              </w:rPr>
            </w:pPr>
          </w:p>
        </w:tc>
      </w:tr>
      <w:tr w14:paraId="65EA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5034">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408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09C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1D20">
            <w:pPr>
              <w:jc w:val="center"/>
              <w:rPr>
                <w:rFonts w:hint="eastAsia" w:ascii="宋体" w:hAnsi="宋体" w:eastAsia="宋体" w:cs="宋体"/>
                <w:i w:val="0"/>
                <w:iCs w:val="0"/>
                <w:color w:val="000000"/>
                <w:sz w:val="22"/>
                <w:szCs w:val="22"/>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0DF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59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6E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0C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预算资金分配依据是否充分；每发现一项不完备的，扣25%分值，扣完为止。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D6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DB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B07D">
            <w:pPr>
              <w:jc w:val="center"/>
              <w:rPr>
                <w:rFonts w:hint="eastAsia" w:ascii="宋体" w:hAnsi="宋体" w:eastAsia="宋体" w:cs="宋体"/>
                <w:i w:val="0"/>
                <w:iCs w:val="0"/>
                <w:color w:val="000000"/>
                <w:sz w:val="22"/>
                <w:szCs w:val="22"/>
                <w:highlight w:val="none"/>
                <w:u w:val="none"/>
              </w:rPr>
            </w:pPr>
          </w:p>
        </w:tc>
      </w:tr>
      <w:tr w14:paraId="7EC3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079B">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A690">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D5D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9E5E">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FC15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95E7">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86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F5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资金分配额度是否合理，与项目单位或地方实际是否相适应。每发现一项不完备的，扣25%分值，扣完为止。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6B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8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06FA8">
            <w:pPr>
              <w:jc w:val="center"/>
              <w:rPr>
                <w:rFonts w:hint="eastAsia" w:ascii="宋体" w:hAnsi="宋体" w:eastAsia="宋体" w:cs="宋体"/>
                <w:i w:val="0"/>
                <w:iCs w:val="0"/>
                <w:color w:val="000000"/>
                <w:sz w:val="22"/>
                <w:szCs w:val="22"/>
                <w:highlight w:val="none"/>
                <w:u w:val="none"/>
              </w:rPr>
            </w:pPr>
          </w:p>
        </w:tc>
      </w:tr>
      <w:tr w14:paraId="7954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628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过程指标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641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BB1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5F2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1E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2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8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02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资金到位率=（实际到位资金/预算资金）×100%（指标值-（60%））/（（100%）-（60%））× 赋分值。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9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6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9D7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r>
      <w:tr w14:paraId="720B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E9E8A">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B7E2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6383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218B">
            <w:pPr>
              <w:jc w:val="center"/>
              <w:rPr>
                <w:rFonts w:hint="eastAsia" w:ascii="宋体" w:hAnsi="宋体" w:eastAsia="宋体" w:cs="宋体"/>
                <w:i w:val="0"/>
                <w:iCs w:val="0"/>
                <w:color w:val="000000"/>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F4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DA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AB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33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C448">
            <w:pPr>
              <w:jc w:val="center"/>
              <w:rPr>
                <w:rFonts w:hint="eastAsia" w:ascii="宋体" w:hAnsi="宋体" w:eastAsia="宋体" w:cs="宋体"/>
                <w:i w:val="0"/>
                <w:iCs w:val="0"/>
                <w:color w:val="000000"/>
                <w:sz w:val="22"/>
                <w:szCs w:val="22"/>
                <w:highlight w:val="none"/>
                <w:u w:val="none"/>
              </w:rPr>
            </w:pPr>
          </w:p>
        </w:tc>
      </w:tr>
      <w:tr w14:paraId="4A2D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73E1">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239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CDE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922A">
            <w:pPr>
              <w:jc w:val="center"/>
              <w:rPr>
                <w:rFonts w:hint="eastAsia" w:ascii="宋体" w:hAnsi="宋体" w:eastAsia="宋体" w:cs="宋体"/>
                <w:i w:val="0"/>
                <w:iCs w:val="0"/>
                <w:color w:val="000000"/>
                <w:sz w:val="22"/>
                <w:szCs w:val="22"/>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6AF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62E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8F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01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是否符合国家财经法规和财务管理制度以及有关专项资金管理办法的规定；每发现一项不完备的，扣25%分值，扣完为止。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E8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24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F6F4F">
            <w:pPr>
              <w:jc w:val="center"/>
              <w:rPr>
                <w:rFonts w:hint="eastAsia" w:ascii="宋体" w:hAnsi="宋体" w:eastAsia="宋体" w:cs="宋体"/>
                <w:i w:val="0"/>
                <w:iCs w:val="0"/>
                <w:color w:val="000000"/>
                <w:sz w:val="22"/>
                <w:szCs w:val="22"/>
                <w:highlight w:val="none"/>
                <w:u w:val="none"/>
              </w:rPr>
            </w:pPr>
          </w:p>
        </w:tc>
      </w:tr>
      <w:tr w14:paraId="1624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A44C">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350B">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400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564F">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04A4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0A43">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6D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3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资金的拨付是否有完整的审批程序和手续。每发现一项不完备的，扣25%分值，扣完为止。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9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08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1DCB">
            <w:pPr>
              <w:jc w:val="center"/>
              <w:rPr>
                <w:rFonts w:hint="eastAsia" w:ascii="宋体" w:hAnsi="宋体" w:eastAsia="宋体" w:cs="宋体"/>
                <w:i w:val="0"/>
                <w:iCs w:val="0"/>
                <w:color w:val="000000"/>
                <w:sz w:val="22"/>
                <w:szCs w:val="22"/>
                <w:highlight w:val="none"/>
                <w:u w:val="none"/>
              </w:rPr>
            </w:pPr>
          </w:p>
        </w:tc>
      </w:tr>
      <w:tr w14:paraId="7C95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10DA">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3C33A">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F2A22">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01535">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3F6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BC8AA">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5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B7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是否符合项目预算批复或合同规定的用途；每发现一项不完备的，扣25%分值，扣完为止。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D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7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B776">
            <w:pPr>
              <w:jc w:val="center"/>
              <w:rPr>
                <w:rFonts w:hint="eastAsia" w:ascii="宋体" w:hAnsi="宋体" w:eastAsia="宋体" w:cs="宋体"/>
                <w:i w:val="0"/>
                <w:iCs w:val="0"/>
                <w:color w:val="000000"/>
                <w:sz w:val="22"/>
                <w:szCs w:val="22"/>
                <w:highlight w:val="none"/>
                <w:u w:val="none"/>
              </w:rPr>
            </w:pPr>
          </w:p>
        </w:tc>
      </w:tr>
      <w:tr w14:paraId="0986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A21C2">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6D7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72C4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F777">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BF65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D3C6">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F4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0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是否未存在截留、挤占、挪用、虚列支出等情况。每发现一项不完备的，扣25%分值，扣完为止。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4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24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095A">
            <w:pPr>
              <w:jc w:val="center"/>
              <w:rPr>
                <w:rFonts w:hint="eastAsia" w:ascii="宋体" w:hAnsi="宋体" w:eastAsia="宋体" w:cs="宋体"/>
                <w:i w:val="0"/>
                <w:iCs w:val="0"/>
                <w:color w:val="000000"/>
                <w:sz w:val="22"/>
                <w:szCs w:val="22"/>
                <w:highlight w:val="none"/>
                <w:u w:val="none"/>
              </w:rPr>
            </w:pPr>
          </w:p>
        </w:tc>
      </w:tr>
      <w:tr w14:paraId="3470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3D82F">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3ACCF">
            <w:pPr>
              <w:jc w:val="center"/>
              <w:rPr>
                <w:rFonts w:hint="eastAsia" w:ascii="宋体" w:hAnsi="宋体" w:eastAsia="宋体" w:cs="宋体"/>
                <w:i w:val="0"/>
                <w:iCs w:val="0"/>
                <w:color w:val="000000"/>
                <w:sz w:val="22"/>
                <w:szCs w:val="22"/>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D6E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D0F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2C9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81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F9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56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项目采购是否执行了内部决策程序；每发现一项不完备的，扣25%分值，扣完为止。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6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AC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87601">
            <w:pPr>
              <w:jc w:val="center"/>
              <w:rPr>
                <w:rFonts w:hint="eastAsia" w:ascii="宋体" w:hAnsi="宋体" w:eastAsia="宋体" w:cs="宋体"/>
                <w:i w:val="0"/>
                <w:iCs w:val="0"/>
                <w:color w:val="000000"/>
                <w:sz w:val="22"/>
                <w:szCs w:val="22"/>
                <w:highlight w:val="none"/>
                <w:u w:val="none"/>
              </w:rPr>
            </w:pPr>
          </w:p>
        </w:tc>
      </w:tr>
      <w:tr w14:paraId="7FDE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12D0">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3635">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941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EED5">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6E2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B667">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3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AF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项目是否按照相关政策执行政府采购程序或通过“绿色通道”采购，项目采购方式是否符合规定；每发现一项不完备的，扣25%分值，扣完为止。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2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E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B357">
            <w:pPr>
              <w:jc w:val="center"/>
              <w:rPr>
                <w:rFonts w:hint="eastAsia" w:ascii="宋体" w:hAnsi="宋体" w:eastAsia="宋体" w:cs="宋体"/>
                <w:i w:val="0"/>
                <w:iCs w:val="0"/>
                <w:color w:val="000000"/>
                <w:sz w:val="22"/>
                <w:szCs w:val="22"/>
                <w:highlight w:val="none"/>
                <w:u w:val="none"/>
              </w:rPr>
            </w:pPr>
          </w:p>
        </w:tc>
      </w:tr>
      <w:tr w14:paraId="7905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DA6A">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4B3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B33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A32D">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7D6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9412">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4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C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项目采购是否履行了必要的验收；每发现一项不完备的，扣25%分值，扣完为止。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F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51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430A">
            <w:pPr>
              <w:jc w:val="center"/>
              <w:rPr>
                <w:rFonts w:hint="eastAsia" w:ascii="宋体" w:hAnsi="宋体" w:eastAsia="宋体" w:cs="宋体"/>
                <w:i w:val="0"/>
                <w:iCs w:val="0"/>
                <w:color w:val="000000"/>
                <w:sz w:val="22"/>
                <w:szCs w:val="22"/>
                <w:highlight w:val="none"/>
                <w:u w:val="none"/>
              </w:rPr>
            </w:pPr>
          </w:p>
        </w:tc>
      </w:tr>
      <w:tr w14:paraId="3E06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8B134">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990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C3B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0FD9">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D90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87CF8">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B0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1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项目采购结算是否准确、合理；每发现一项不完备的，扣25%分值，扣完为止。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3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5D25">
            <w:pPr>
              <w:jc w:val="center"/>
              <w:rPr>
                <w:rFonts w:hint="eastAsia" w:ascii="宋体" w:hAnsi="宋体" w:eastAsia="宋体" w:cs="宋体"/>
                <w:i w:val="0"/>
                <w:iCs w:val="0"/>
                <w:color w:val="000000"/>
                <w:sz w:val="22"/>
                <w:szCs w:val="22"/>
                <w:highlight w:val="none"/>
                <w:u w:val="none"/>
              </w:rPr>
            </w:pPr>
          </w:p>
        </w:tc>
      </w:tr>
      <w:tr w14:paraId="5480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94162">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348B">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D70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B586">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6FED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BC63">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0D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7D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采购货物入库、领用登记是否及时、准确。每发现一项不完备的，扣25%分值，扣完为止。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5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5B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B232">
            <w:pPr>
              <w:jc w:val="center"/>
              <w:rPr>
                <w:rFonts w:hint="eastAsia" w:ascii="宋体" w:hAnsi="宋体" w:eastAsia="宋体" w:cs="宋体"/>
                <w:i w:val="0"/>
                <w:iCs w:val="0"/>
                <w:color w:val="000000"/>
                <w:sz w:val="22"/>
                <w:szCs w:val="22"/>
                <w:highlight w:val="none"/>
                <w:u w:val="none"/>
              </w:rPr>
            </w:pPr>
          </w:p>
        </w:tc>
      </w:tr>
      <w:tr w14:paraId="6C07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8F3F">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CA22">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C3D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6B42">
            <w:pPr>
              <w:jc w:val="center"/>
              <w:rPr>
                <w:rFonts w:hint="eastAsia" w:ascii="宋体" w:hAnsi="宋体" w:eastAsia="宋体" w:cs="宋体"/>
                <w:i w:val="0"/>
                <w:iCs w:val="0"/>
                <w:color w:val="000000"/>
                <w:sz w:val="22"/>
                <w:szCs w:val="22"/>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CF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9A3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6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FE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是否已制定或具有相应的财务和业务管理制度；每发现一项不完备的，扣25%分值，扣完为止。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A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1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FB2E">
            <w:pPr>
              <w:jc w:val="center"/>
              <w:rPr>
                <w:rFonts w:hint="eastAsia" w:ascii="宋体" w:hAnsi="宋体" w:eastAsia="宋体" w:cs="宋体"/>
                <w:i w:val="0"/>
                <w:iCs w:val="0"/>
                <w:color w:val="000000"/>
                <w:sz w:val="22"/>
                <w:szCs w:val="22"/>
                <w:highlight w:val="none"/>
                <w:u w:val="none"/>
              </w:rPr>
            </w:pPr>
          </w:p>
        </w:tc>
      </w:tr>
      <w:tr w14:paraId="5E67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28A7">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25D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581E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1461C">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9C8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1B6FC">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9F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D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财务和业务管理制度是否合法、合规、完整。每发现一项不完备的，扣25%分值，扣完为止。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8B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5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563E">
            <w:pPr>
              <w:jc w:val="center"/>
              <w:rPr>
                <w:rFonts w:hint="eastAsia" w:ascii="宋体" w:hAnsi="宋体" w:eastAsia="宋体" w:cs="宋体"/>
                <w:i w:val="0"/>
                <w:iCs w:val="0"/>
                <w:color w:val="000000"/>
                <w:sz w:val="22"/>
                <w:szCs w:val="22"/>
                <w:highlight w:val="none"/>
                <w:u w:val="none"/>
              </w:rPr>
            </w:pPr>
          </w:p>
        </w:tc>
      </w:tr>
      <w:tr w14:paraId="0BE2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3DE3">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2CAE8">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FA4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DAE2">
            <w:pPr>
              <w:jc w:val="center"/>
              <w:rPr>
                <w:rFonts w:hint="eastAsia" w:ascii="宋体" w:hAnsi="宋体" w:eastAsia="宋体" w:cs="宋体"/>
                <w:i w:val="0"/>
                <w:iCs w:val="0"/>
                <w:color w:val="000000"/>
                <w:sz w:val="22"/>
                <w:szCs w:val="22"/>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9A7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201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47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D9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项目实施单位是否进行绩效自评，报告及打分表是否完整。每发现一项不完备的，扣25%分值，扣完为止。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63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DA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724B3">
            <w:pPr>
              <w:jc w:val="center"/>
              <w:rPr>
                <w:rFonts w:hint="eastAsia" w:ascii="宋体" w:hAnsi="宋体" w:eastAsia="宋体" w:cs="宋体"/>
                <w:i w:val="0"/>
                <w:iCs w:val="0"/>
                <w:color w:val="000000"/>
                <w:sz w:val="22"/>
                <w:szCs w:val="22"/>
                <w:highlight w:val="none"/>
                <w:u w:val="none"/>
              </w:rPr>
            </w:pPr>
          </w:p>
        </w:tc>
      </w:tr>
      <w:tr w14:paraId="6EFC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0C0DA">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EBE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489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A399">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A26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C55E">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A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D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自评报告数据是否准确，内容是否翔实。每发现一项不完备的，扣25%分值，扣完为止。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0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59E1">
            <w:pPr>
              <w:jc w:val="center"/>
              <w:rPr>
                <w:rFonts w:hint="eastAsia" w:ascii="宋体" w:hAnsi="宋体" w:eastAsia="宋体" w:cs="宋体"/>
                <w:i w:val="0"/>
                <w:iCs w:val="0"/>
                <w:color w:val="000000"/>
                <w:sz w:val="22"/>
                <w:szCs w:val="22"/>
                <w:highlight w:val="none"/>
                <w:u w:val="none"/>
              </w:rPr>
            </w:pPr>
          </w:p>
        </w:tc>
      </w:tr>
      <w:tr w14:paraId="1771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DC6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产出指标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72D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FA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0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57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2023年扶风县农村生活垃圾集中处置费实际完成率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9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5B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77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日清运全县8个镇街116个行政村生活垃圾至冀东生活垃圾焚烧处理，每日垃圾焚烧处理数量82吨全年垃圾焚烧处理量30000吨：按照{已完成工作进度}/{计划工作进度}*100%得出指标值，按照（指标值-（60%））/（（100%）-（60%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8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6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A62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27.79</w:t>
            </w:r>
          </w:p>
        </w:tc>
      </w:tr>
      <w:tr w14:paraId="3C6A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8F81">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CB803">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FC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F0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2023年扶风县农村生活垃圾集中处置费质量合格率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7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B5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31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每日清运全县8个镇街116个行政村生活垃圾至冀东生活垃圾焚烧处理，验收合格：按照{经费项目质量达标项目数}/1*100%得出指标值，按照（指标值-（60%））/（（100%）-（60%））×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FF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CE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1BC8">
            <w:pPr>
              <w:jc w:val="center"/>
              <w:rPr>
                <w:rFonts w:hint="eastAsia" w:ascii="宋体" w:hAnsi="宋体" w:eastAsia="宋体" w:cs="宋体"/>
                <w:i w:val="0"/>
                <w:iCs w:val="0"/>
                <w:color w:val="000000"/>
                <w:sz w:val="22"/>
                <w:szCs w:val="22"/>
                <w:highlight w:val="none"/>
                <w:u w:val="none"/>
              </w:rPr>
            </w:pPr>
          </w:p>
        </w:tc>
      </w:tr>
      <w:tr w14:paraId="77C1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D5B3">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941B">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C0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29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45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2023年扶风县农村生活垃圾集中处置费完成及时率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3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2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FA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每日清运全县8个镇街116个行政村生活垃圾至冀东生活垃圾焚烧处理，2023年度：按照{已完成工作进度}/{计划工作进度}*100%得出指标值，按照（指标值-（60%））/（（100%）-（60%））×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D7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7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25455">
            <w:pPr>
              <w:jc w:val="center"/>
              <w:rPr>
                <w:rFonts w:hint="eastAsia" w:ascii="宋体" w:hAnsi="宋体" w:eastAsia="宋体" w:cs="宋体"/>
                <w:i w:val="0"/>
                <w:iCs w:val="0"/>
                <w:color w:val="000000"/>
                <w:sz w:val="22"/>
                <w:szCs w:val="22"/>
                <w:highlight w:val="none"/>
                <w:u w:val="none"/>
              </w:rPr>
            </w:pPr>
          </w:p>
        </w:tc>
      </w:tr>
      <w:tr w14:paraId="7C99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368E">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B9ED">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3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CF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C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2023年扶风县农村生活垃圾集中处置费成本节约率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E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A7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E5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每日清运全县8个镇街116个行政村生活垃圾至冀东生活垃圾焚烧处理，100万元：按照({经费项目计划支出}-{经费项目预计支出})/{经费项目计划支出}*100%得出指标值，按照（指标值-（-10%））/（（0%）-（-10%））× 赋分值得分。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4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8FFF">
            <w:pPr>
              <w:jc w:val="center"/>
              <w:rPr>
                <w:rFonts w:hint="eastAsia" w:ascii="宋体" w:hAnsi="宋体" w:eastAsia="宋体" w:cs="宋体"/>
                <w:i w:val="0"/>
                <w:iCs w:val="0"/>
                <w:color w:val="000000"/>
                <w:sz w:val="22"/>
                <w:szCs w:val="22"/>
                <w:highlight w:val="none"/>
                <w:u w:val="none"/>
              </w:rPr>
            </w:pPr>
          </w:p>
        </w:tc>
      </w:tr>
      <w:tr w14:paraId="71A8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686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效益指标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1AA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08A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624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612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改善农村人居环境</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65A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1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F3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改善环境和人居条件：按照*&lt;计算公式&gt;*得出指标值，按照*&lt;得分公式&gt;*得分。达成目标得100%分，基本达成目标得75%分，部分实现目标得50%分，实现程度较低得25%分，实现程度低得0%分。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B4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D30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w:t>
            </w:r>
          </w:p>
        </w:tc>
      </w:tr>
      <w:tr w14:paraId="324E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B9AFA">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C9C5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A06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588D">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264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3A835">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26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AC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促进居民环保意识和环保行动：按照*&lt;计算公式&gt;*得出指标值，按照*&lt;得分公式&gt;*得分。达成目标得100%分，基本达成目标得75%分，部分实现目标得50%分，实现程度较低得25%分，实现程度低得0%分。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8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4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DFD5">
            <w:pPr>
              <w:jc w:val="center"/>
              <w:rPr>
                <w:rFonts w:hint="eastAsia" w:ascii="宋体" w:hAnsi="宋体" w:eastAsia="宋体" w:cs="宋体"/>
                <w:i w:val="0"/>
                <w:iCs w:val="0"/>
                <w:color w:val="000000"/>
                <w:sz w:val="22"/>
                <w:szCs w:val="22"/>
                <w:highlight w:val="none"/>
                <w:u w:val="none"/>
              </w:rPr>
            </w:pPr>
          </w:p>
        </w:tc>
      </w:tr>
      <w:tr w14:paraId="4D19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318C">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CBC6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1946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DD2D">
            <w:pPr>
              <w:jc w:val="center"/>
              <w:rPr>
                <w:rFonts w:hint="eastAsia" w:ascii="宋体" w:hAnsi="宋体" w:eastAsia="宋体" w:cs="宋体"/>
                <w:i w:val="0"/>
                <w:iCs w:val="0"/>
                <w:color w:val="000000"/>
                <w:sz w:val="22"/>
                <w:szCs w:val="22"/>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0955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95BB8">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39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FE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改善城市形象，提升软实力：按照*&lt;计算公式&gt;*得出指标值，按照*&lt;得分公式&gt;*得分。达成目标得100%分，基本达成目标得75%分，部分实现目标得50%分，实现程度较低得25%分，实现程度低得0%分。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D1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8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2F18">
            <w:pPr>
              <w:jc w:val="center"/>
              <w:rPr>
                <w:rFonts w:hint="eastAsia" w:ascii="宋体" w:hAnsi="宋体" w:eastAsia="宋体" w:cs="宋体"/>
                <w:i w:val="0"/>
                <w:iCs w:val="0"/>
                <w:color w:val="000000"/>
                <w:sz w:val="22"/>
                <w:szCs w:val="22"/>
                <w:highlight w:val="none"/>
                <w:u w:val="none"/>
              </w:rPr>
            </w:pPr>
          </w:p>
        </w:tc>
      </w:tr>
      <w:tr w14:paraId="6B52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519FE">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5DE4A">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D6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32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F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保护生态环境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F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93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F9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生态环境，促进生态系统的保护和修复：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14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B6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A369">
            <w:pPr>
              <w:jc w:val="center"/>
              <w:rPr>
                <w:rFonts w:hint="eastAsia" w:ascii="宋体" w:hAnsi="宋体" w:eastAsia="宋体" w:cs="宋体"/>
                <w:i w:val="0"/>
                <w:iCs w:val="0"/>
                <w:color w:val="000000"/>
                <w:sz w:val="22"/>
                <w:szCs w:val="22"/>
                <w:highlight w:val="none"/>
                <w:u w:val="none"/>
              </w:rPr>
            </w:pPr>
          </w:p>
        </w:tc>
      </w:tr>
      <w:tr w14:paraId="4BD1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C7A8C">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2AE6">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E1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E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5A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推动城市可持续发展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14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FD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F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促进资源循环利用，推动城市可持续发展：按照*&lt;计算公式&gt;*得出指标值，按照*&lt;得分公式&gt;*得分。达成目标得100%分，基本达成目标得75%分，部分实现目标得50%分，实现程度较低得25%分，实现程度低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D4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7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1F63">
            <w:pPr>
              <w:jc w:val="center"/>
              <w:rPr>
                <w:rFonts w:hint="eastAsia" w:ascii="宋体" w:hAnsi="宋体" w:eastAsia="宋体" w:cs="宋体"/>
                <w:i w:val="0"/>
                <w:iCs w:val="0"/>
                <w:color w:val="000000"/>
                <w:sz w:val="22"/>
                <w:szCs w:val="22"/>
                <w:highlight w:val="none"/>
                <w:u w:val="none"/>
              </w:rPr>
            </w:pPr>
          </w:p>
        </w:tc>
      </w:tr>
      <w:tr w14:paraId="291C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C6D4">
            <w:pPr>
              <w:jc w:val="center"/>
              <w:rPr>
                <w:rFonts w:hint="eastAsia" w:ascii="宋体" w:hAnsi="宋体" w:eastAsia="宋体" w:cs="宋体"/>
                <w:i w:val="0"/>
                <w:iCs w:val="0"/>
                <w:color w:val="000000"/>
                <w:sz w:val="22"/>
                <w:szCs w:val="22"/>
                <w:highlight w:val="none"/>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6A254">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EF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6F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4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受益群众满意度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2C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9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A9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受益群众满意度：按照*&lt;计算公式&gt;*得出指标值，按照*&lt;得分公式&gt;*得分。满意得100%分，较满意得80%分，基本满意得60%分，较不满意得30%分，不满意得0%分。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A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9829">
            <w:pPr>
              <w:jc w:val="center"/>
              <w:rPr>
                <w:rFonts w:hint="eastAsia" w:ascii="宋体" w:hAnsi="宋体" w:eastAsia="宋体" w:cs="宋体"/>
                <w:i w:val="0"/>
                <w:iCs w:val="0"/>
                <w:color w:val="000000"/>
                <w:sz w:val="22"/>
                <w:szCs w:val="22"/>
                <w:highlight w:val="none"/>
                <w:u w:val="none"/>
              </w:rPr>
            </w:pPr>
          </w:p>
        </w:tc>
      </w:tr>
      <w:tr w14:paraId="55E4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E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66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78D3">
            <w:pP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7A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B79C">
            <w:pP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88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C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5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ED7E">
            <w:pPr>
              <w:rPr>
                <w:rFonts w:hint="eastAsia" w:ascii="宋体" w:hAnsi="宋体" w:eastAsia="宋体" w:cs="宋体"/>
                <w:i w:val="0"/>
                <w:iCs w:val="0"/>
                <w:color w:val="000000"/>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1C0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0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1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84.79</w:t>
            </w:r>
          </w:p>
        </w:tc>
      </w:tr>
    </w:tbl>
    <w:p w14:paraId="08CC6BEE">
      <w:pPr>
        <w:spacing w:line="600" w:lineRule="exact"/>
        <w:jc w:val="both"/>
        <w:rPr>
          <w:rFonts w:hint="default" w:ascii="仿宋" w:hAnsi="仿宋" w:eastAsia="仿宋" w:cs="仿宋"/>
          <w:b/>
          <w:bCs/>
          <w:kern w:val="0"/>
          <w:sz w:val="40"/>
          <w:szCs w:val="40"/>
          <w:highlight w:val="none"/>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9E0F8F-127A-4E9C-9FED-2317E918FC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724AA77-2907-444B-B24A-C639F6986CC7}"/>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85E56D56-CA0D-4BFA-A5C7-CC189DA390FF}"/>
  </w:font>
  <w:font w:name="楷体_GB2312">
    <w:panose1 w:val="02010609060101010101"/>
    <w:charset w:val="86"/>
    <w:family w:val="auto"/>
    <w:pitch w:val="default"/>
    <w:sig w:usb0="800002BF" w:usb1="38CF7CFA" w:usb2="00000016" w:usb3="00000000" w:csb0="00040001" w:csb1="00000000"/>
    <w:embedRegular r:id="rId4" w:fontKey="{8908C68D-7754-4B1D-96B4-6E020FCFB2CB}"/>
  </w:font>
  <w:font w:name="方正小标宋_GBK">
    <w:panose1 w:val="02000000000000000000"/>
    <w:charset w:val="86"/>
    <w:family w:val="auto"/>
    <w:pitch w:val="default"/>
    <w:sig w:usb0="A00002BF" w:usb1="38CF7CFA" w:usb2="00082016" w:usb3="00000000" w:csb0="00040001" w:csb1="00000000"/>
    <w:embedRegular r:id="rId5" w:fontKey="{9235D726-DE94-40B7-958C-0A7766D0603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949E">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EF3E">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BD69">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D575">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58B1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258B1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84B22"/>
    <w:multiLevelType w:val="singleLevel"/>
    <w:tmpl w:val="4E684B2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20326CF"/>
    <w:rsid w:val="08D045C6"/>
    <w:rsid w:val="173607EF"/>
    <w:rsid w:val="1AD724D5"/>
    <w:rsid w:val="25EF52B4"/>
    <w:rsid w:val="28E82407"/>
    <w:rsid w:val="366C20B6"/>
    <w:rsid w:val="3F3F4B8C"/>
    <w:rsid w:val="44043E0B"/>
    <w:rsid w:val="49AF52CE"/>
    <w:rsid w:val="53506788"/>
    <w:rsid w:val="581360E8"/>
    <w:rsid w:val="5BEE722F"/>
    <w:rsid w:val="67DE2CAD"/>
    <w:rsid w:val="700D0312"/>
    <w:rsid w:val="77E50CEE"/>
    <w:rsid w:val="7C96719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3.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3173e-0cc4-4aff-9be5-15b7e01aede9}">
  <ds:schemaRefs/>
</ds:datastoreItem>
</file>

<file path=customXml/itemProps3.xml><?xml version="1.0" encoding="utf-8"?>
<ds:datastoreItem xmlns:ds="http://schemas.openxmlformats.org/officeDocument/2006/customXml" ds:itemID="{43fcd69c-9373-495f-958a-36da284dab52}">
  <ds:schemaRefs/>
</ds:datastoreItem>
</file>

<file path=customXml/itemProps4.xml><?xml version="1.0" encoding="utf-8"?>
<ds:datastoreItem xmlns:ds="http://schemas.openxmlformats.org/officeDocument/2006/customXml" ds:itemID="{8c8d30f1-c447-4448-8e6b-1b2fc09c630d}">
  <ds:schemaRefs/>
</ds:datastoreItem>
</file>

<file path=customXml/itemProps5.xml><?xml version="1.0" encoding="utf-8"?>
<ds:datastoreItem xmlns:ds="http://schemas.openxmlformats.org/officeDocument/2006/customXml" ds:itemID="{F88D2ECD-F606-45A5-AD68-7D54D6DC8C9F}">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11363</Words>
  <Characters>12384</Characters>
  <Lines>38</Lines>
  <Paragraphs>10</Paragraphs>
  <TotalTime>9</TotalTime>
  <ScaleCrop>false</ScaleCrop>
  <LinksUpToDate>false</LinksUpToDate>
  <CharactersWithSpaces>12476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2024-11-11T08:29:02Z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1AC1A55A72EB46FBB5367CE7B1CC31B1_13</vt:lpwstr>
  </property>
</Properties>
</file>